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BE099D"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BE099D" w14:paraId="3CA33060" w14:textId="77777777" w:rsidTr="009F4EA0">
        <w:tc>
          <w:tcPr>
            <w:tcW w:w="8640" w:type="dxa"/>
            <w:shd w:val="clear" w:color="auto" w:fill="F2F2F2" w:themeFill="background1" w:themeFillShade="F2"/>
          </w:tcPr>
          <w:p w14:paraId="5A931653" w14:textId="2539E3A2" w:rsidR="0024050E" w:rsidRPr="00940ECF" w:rsidRDefault="00940ECF" w:rsidP="00706DED">
            <w:pPr>
              <w:jc w:val="both"/>
              <w:rPr>
                <w:rFonts w:ascii="Arial" w:hAnsi="Arial" w:cs="Arial"/>
                <w:bCs/>
                <w:i/>
                <w:iCs/>
                <w:sz w:val="22"/>
                <w:szCs w:val="22"/>
              </w:rPr>
            </w:pPr>
            <w:r w:rsidRPr="00940ECF">
              <w:rPr>
                <w:rFonts w:ascii="Arial" w:hAnsi="Arial" w:cs="Arial"/>
                <w:bCs/>
                <w:i/>
                <w:iCs/>
                <w:sz w:val="22"/>
                <w:szCs w:val="22"/>
              </w:rPr>
              <w:t xml:space="preserve">Paper </w:t>
            </w:r>
          </w:p>
          <w:p w14:paraId="54D59738" w14:textId="2E30D856" w:rsidR="0024050E" w:rsidRPr="00940ECF" w:rsidRDefault="0024050E" w:rsidP="00706DED">
            <w:pPr>
              <w:jc w:val="both"/>
              <w:rPr>
                <w:rFonts w:ascii="Arial" w:hAnsi="Arial" w:cs="Arial"/>
                <w:b/>
                <w:bCs/>
                <w:sz w:val="22"/>
                <w:szCs w:val="22"/>
              </w:rPr>
            </w:pPr>
            <w:r w:rsidRPr="00940ECF">
              <w:rPr>
                <w:rFonts w:ascii="Arial" w:hAnsi="Arial" w:cs="Arial"/>
                <w:b/>
                <w:bCs/>
                <w:sz w:val="22"/>
                <w:szCs w:val="22"/>
              </w:rPr>
              <w:t>Exploring the benefits and dis-benefits of climate migration as an adaptive strategy along the rural-peri urban continuum in Namibia</w:t>
            </w:r>
          </w:p>
          <w:p w14:paraId="3F7D1534" w14:textId="77777777" w:rsidR="00C8423A" w:rsidRPr="00BE099D" w:rsidRDefault="00C8423A" w:rsidP="0065012F">
            <w:pPr>
              <w:tabs>
                <w:tab w:val="left" w:pos="3386"/>
              </w:tabs>
              <w:jc w:val="both"/>
              <w:rPr>
                <w:rFonts w:ascii="Arial" w:hAnsi="Arial" w:cs="Arial"/>
                <w:b/>
                <w:bCs/>
                <w:sz w:val="22"/>
                <w:szCs w:val="22"/>
              </w:rPr>
            </w:pPr>
          </w:p>
        </w:tc>
      </w:tr>
      <w:tr w:rsidR="00C8423A" w:rsidRPr="00BE099D" w14:paraId="1A1C8C63" w14:textId="77777777" w:rsidTr="009F4EA0">
        <w:trPr>
          <w:trHeight w:val="3124"/>
        </w:trPr>
        <w:tc>
          <w:tcPr>
            <w:tcW w:w="8640" w:type="dxa"/>
          </w:tcPr>
          <w:p w14:paraId="5B83AD76" w14:textId="4D5FFF21" w:rsidR="00C8423A" w:rsidRPr="00BE099D" w:rsidRDefault="00C8423A" w:rsidP="00706DED">
            <w:pPr>
              <w:jc w:val="both"/>
              <w:rPr>
                <w:rFonts w:ascii="Arial" w:hAnsi="Arial" w:cs="Arial"/>
                <w:bCs/>
                <w:sz w:val="22"/>
                <w:szCs w:val="22"/>
              </w:rPr>
            </w:pPr>
          </w:p>
          <w:p w14:paraId="65A278DB" w14:textId="77777777" w:rsidR="00C8423A" w:rsidRPr="00BE099D" w:rsidRDefault="00C8423A" w:rsidP="00706DED">
            <w:pPr>
              <w:jc w:val="both"/>
              <w:rPr>
                <w:rFonts w:ascii="Arial" w:hAnsi="Arial" w:cs="Arial"/>
                <w:b/>
                <w:sz w:val="22"/>
                <w:szCs w:val="22"/>
              </w:rPr>
            </w:pPr>
          </w:p>
          <w:p w14:paraId="718BCD26" w14:textId="1C455B79" w:rsidR="00BE099D" w:rsidRPr="00DB3E01" w:rsidRDefault="0065012F" w:rsidP="00706DED">
            <w:pPr>
              <w:jc w:val="both"/>
              <w:rPr>
                <w:rFonts w:ascii="Arial" w:hAnsi="Arial" w:cs="Arial"/>
                <w:color w:val="000000" w:themeColor="text1"/>
                <w:sz w:val="22"/>
                <w:szCs w:val="22"/>
                <w:shd w:val="clear" w:color="auto" w:fill="FFFFFF"/>
              </w:rPr>
            </w:pPr>
            <w:r w:rsidRPr="00BE099D">
              <w:rPr>
                <w:rFonts w:ascii="Arial" w:hAnsi="Arial" w:cs="Arial"/>
                <w:b/>
                <w:sz w:val="22"/>
                <w:szCs w:val="22"/>
              </w:rPr>
              <w:t>In</w:t>
            </w:r>
            <w:r w:rsidRPr="00DB3E01">
              <w:rPr>
                <w:rFonts w:ascii="Arial" w:hAnsi="Arial" w:cs="Arial"/>
                <w:b/>
                <w:color w:val="000000" w:themeColor="text1"/>
                <w:sz w:val="22"/>
                <w:szCs w:val="22"/>
              </w:rPr>
              <w:t>troduction</w:t>
            </w:r>
            <w:r w:rsidR="00B870B0" w:rsidRPr="00DB3E01">
              <w:rPr>
                <w:rFonts w:ascii="Arial" w:hAnsi="Arial" w:cs="Arial"/>
                <w:b/>
                <w:color w:val="000000" w:themeColor="text1"/>
                <w:sz w:val="22"/>
                <w:szCs w:val="22"/>
              </w:rPr>
              <w:t xml:space="preserve"> </w:t>
            </w:r>
            <w:r w:rsidR="00BE099D" w:rsidRPr="00DB3E01">
              <w:rPr>
                <w:rFonts w:ascii="Arial" w:hAnsi="Arial" w:cs="Arial"/>
                <w:color w:val="000000" w:themeColor="text1"/>
                <w:sz w:val="22"/>
                <w:szCs w:val="22"/>
                <w:shd w:val="clear" w:color="auto" w:fill="FFFFFF"/>
              </w:rPr>
              <w:t xml:space="preserve"> </w:t>
            </w:r>
            <w:r w:rsidR="0024050E" w:rsidRPr="00DB3E01">
              <w:rPr>
                <w:rFonts w:ascii="Arial" w:hAnsi="Arial" w:cs="Arial"/>
                <w:color w:val="000000" w:themeColor="text1"/>
                <w:sz w:val="22"/>
                <w:szCs w:val="22"/>
                <w:shd w:val="clear" w:color="auto" w:fill="FFFFFF"/>
              </w:rPr>
              <w:t>The scale of climate migration across the Global South is expected to increase during this century.</w:t>
            </w:r>
            <w:r w:rsidR="00DB3E01">
              <w:rPr>
                <w:rFonts w:ascii="Arial" w:hAnsi="Arial" w:cs="Arial"/>
                <w:color w:val="000000" w:themeColor="text1"/>
                <w:sz w:val="22"/>
                <w:szCs w:val="22"/>
                <w:shd w:val="clear" w:color="auto" w:fill="FFFFFF"/>
              </w:rPr>
              <w:t xml:space="preserve"> </w:t>
            </w:r>
            <w:r w:rsidR="0024050E" w:rsidRPr="00DB3E01">
              <w:rPr>
                <w:rFonts w:ascii="Arial" w:hAnsi="Arial" w:cs="Arial"/>
                <w:color w:val="000000" w:themeColor="text1"/>
                <w:sz w:val="22"/>
                <w:szCs w:val="22"/>
                <w:shd w:val="clear" w:color="auto" w:fill="FFFFFF"/>
              </w:rPr>
              <w:t>Across Africa, climate change projections suggest a greater frequency and intensity of natural hazards, increasing the risks of trade-offs across sectors and resources. By 2050, millions of Africans are likely to consider, or be pushed into, migration because of climate hazards contributing to agricultural disruption, water and food scarcity, desertification, flooding, drought, coastal erosion, and heat waves. However, the migration-climate nexus is complex, as is the question of whether migration can be considered a climate change adaptation strategy across both the rural and urban space.</w:t>
            </w:r>
            <w:r w:rsidR="0024050E" w:rsidRPr="00DB3E01">
              <w:rPr>
                <w:rStyle w:val="apple-converted-space"/>
                <w:rFonts w:ascii="Arial" w:hAnsi="Arial" w:cs="Arial"/>
                <w:color w:val="000000" w:themeColor="text1"/>
                <w:sz w:val="22"/>
                <w:szCs w:val="22"/>
                <w:shd w:val="clear" w:color="auto" w:fill="FFFFFF"/>
              </w:rPr>
              <w:t> </w:t>
            </w:r>
          </w:p>
          <w:p w14:paraId="4806BFDB" w14:textId="77777777" w:rsidR="0065012F" w:rsidRPr="00DB3E01" w:rsidRDefault="0065012F" w:rsidP="00706DED">
            <w:pPr>
              <w:jc w:val="both"/>
              <w:rPr>
                <w:rFonts w:ascii="Arial" w:hAnsi="Arial" w:cs="Arial"/>
                <w:b/>
                <w:color w:val="000000" w:themeColor="text1"/>
                <w:sz w:val="22"/>
                <w:szCs w:val="22"/>
              </w:rPr>
            </w:pPr>
          </w:p>
          <w:p w14:paraId="1CEC267B" w14:textId="7F0E85A4" w:rsidR="00DB3E01" w:rsidRPr="00DB3E01" w:rsidRDefault="0065012F" w:rsidP="00DB3E01">
            <w:pPr>
              <w:jc w:val="both"/>
              <w:rPr>
                <w:rFonts w:ascii="Arial" w:hAnsi="Arial" w:cs="Arial"/>
                <w:color w:val="000000" w:themeColor="text1"/>
                <w:sz w:val="22"/>
                <w:szCs w:val="22"/>
                <w:shd w:val="clear" w:color="auto" w:fill="FFFFFF"/>
              </w:rPr>
            </w:pPr>
            <w:r w:rsidRPr="00DB3E01">
              <w:rPr>
                <w:rFonts w:ascii="Arial" w:hAnsi="Arial" w:cs="Arial"/>
                <w:b/>
                <w:color w:val="000000" w:themeColor="text1"/>
                <w:sz w:val="22"/>
                <w:szCs w:val="22"/>
              </w:rPr>
              <w:t>Objectives</w:t>
            </w:r>
            <w:r w:rsidR="00B870B0" w:rsidRPr="00DB3E01">
              <w:rPr>
                <w:rFonts w:ascii="Arial" w:hAnsi="Arial" w:cs="Arial"/>
                <w:b/>
                <w:color w:val="000000" w:themeColor="text1"/>
                <w:sz w:val="22"/>
                <w:szCs w:val="22"/>
              </w:rPr>
              <w:t xml:space="preserve"> </w:t>
            </w:r>
            <w:r w:rsidR="00B870B0" w:rsidRPr="00DB3E01">
              <w:rPr>
                <w:rFonts w:ascii="Arial" w:hAnsi="Arial" w:cs="Arial"/>
                <w:color w:val="000000" w:themeColor="text1"/>
                <w:sz w:val="22"/>
                <w:szCs w:val="22"/>
              </w:rPr>
              <w:t> </w:t>
            </w:r>
            <w:r w:rsidR="00DB3E01" w:rsidRPr="00DB3E01">
              <w:rPr>
                <w:rStyle w:val="apple-converted-space"/>
                <w:rFonts w:ascii="Arial" w:hAnsi="Arial" w:cs="Arial"/>
                <w:color w:val="000000" w:themeColor="text1"/>
                <w:sz w:val="22"/>
                <w:szCs w:val="22"/>
                <w:shd w:val="clear" w:color="auto" w:fill="FFFFFF"/>
              </w:rPr>
              <w:t xml:space="preserve"> </w:t>
            </w:r>
            <w:r w:rsidR="00DB3E01" w:rsidRPr="00DB3E01">
              <w:rPr>
                <w:rFonts w:ascii="Arial" w:hAnsi="Arial" w:cs="Arial"/>
                <w:color w:val="000000" w:themeColor="text1"/>
                <w:sz w:val="22"/>
                <w:szCs w:val="22"/>
                <w:shd w:val="clear" w:color="auto" w:fill="FFFFFF"/>
              </w:rPr>
              <w:t xml:space="preserve">Our research questions are as follows: (1) what are the patterns of climate change and internal regional migration flows? and (2) using Everett Lee’s influential migration model, which assesses migration from the perspective of migrants (personal factors and intervening obstacles), areas of origin, and areas of destination, what are the benefits and dis-benefits of climate migration as an adaptive strategy? Our purpose is to use climate as a lens through which to view reciprocal rural-peri-urban migration, which then lays the ground for a conversation with, for example, traditional structural drivers of mobility, such as economic motivators. </w:t>
            </w:r>
          </w:p>
          <w:p w14:paraId="7DF7D437" w14:textId="77777777" w:rsidR="0065012F" w:rsidRPr="00DB3E01" w:rsidRDefault="0065012F" w:rsidP="00706DED">
            <w:pPr>
              <w:jc w:val="both"/>
              <w:rPr>
                <w:rFonts w:ascii="Arial" w:hAnsi="Arial" w:cs="Arial"/>
                <w:b/>
                <w:color w:val="000000" w:themeColor="text1"/>
                <w:sz w:val="22"/>
                <w:szCs w:val="22"/>
              </w:rPr>
            </w:pPr>
          </w:p>
          <w:p w14:paraId="599C4810" w14:textId="35932CD6" w:rsidR="00DB3E01" w:rsidRPr="00DB3E01" w:rsidRDefault="00906B39" w:rsidP="00DB3E01">
            <w:pPr>
              <w:jc w:val="both"/>
              <w:rPr>
                <w:rFonts w:ascii="Arial" w:hAnsi="Arial" w:cs="Arial"/>
                <w:color w:val="000000" w:themeColor="text1"/>
                <w:sz w:val="22"/>
                <w:szCs w:val="22"/>
              </w:rPr>
            </w:pPr>
            <w:r w:rsidRPr="00DB3E01">
              <w:rPr>
                <w:rFonts w:ascii="Arial" w:hAnsi="Arial" w:cs="Arial"/>
                <w:b/>
                <w:color w:val="000000" w:themeColor="text1"/>
                <w:sz w:val="22"/>
                <w:szCs w:val="22"/>
              </w:rPr>
              <w:t>Methodology</w:t>
            </w:r>
            <w:r w:rsidR="00B870B0" w:rsidRPr="00DB3E01">
              <w:rPr>
                <w:rFonts w:ascii="Arial" w:hAnsi="Arial" w:cs="Arial"/>
                <w:b/>
                <w:color w:val="000000" w:themeColor="text1"/>
                <w:sz w:val="22"/>
                <w:szCs w:val="22"/>
              </w:rPr>
              <w:t xml:space="preserve"> </w:t>
            </w:r>
            <w:r w:rsidR="00F010EE" w:rsidRPr="00DB3E01">
              <w:rPr>
                <w:rFonts w:ascii="Arial" w:hAnsi="Arial" w:cs="Arial"/>
                <w:color w:val="000000" w:themeColor="text1"/>
                <w:sz w:val="22"/>
                <w:szCs w:val="22"/>
              </w:rPr>
              <w:t xml:space="preserve"> </w:t>
            </w:r>
            <w:r w:rsidR="00DB3E01" w:rsidRPr="00DB3E01">
              <w:rPr>
                <w:rFonts w:ascii="Arial" w:hAnsi="Arial" w:cs="Arial"/>
                <w:color w:val="000000" w:themeColor="text1"/>
                <w:sz w:val="22"/>
                <w:szCs w:val="22"/>
              </w:rPr>
              <w:t xml:space="preserve"> C</w:t>
            </w:r>
            <w:r w:rsidR="00DB3E01" w:rsidRPr="00DB3E01">
              <w:rPr>
                <w:rFonts w:ascii="Arial" w:hAnsi="Arial" w:cs="Arial"/>
                <w:color w:val="000000" w:themeColor="text1"/>
                <w:sz w:val="22"/>
                <w:szCs w:val="22"/>
                <w:shd w:val="clear" w:color="auto" w:fill="FFFFFF"/>
              </w:rPr>
              <w:t>ombining data from household surveys, key informant interviews, and secondary sources related to regional disaster, demographic, resource, and economic trends between 1990 and 2020 from north central and central dryland Namibia</w:t>
            </w:r>
          </w:p>
          <w:p w14:paraId="27CF4460" w14:textId="77777777" w:rsidR="00DB3E01" w:rsidRPr="00DB3E01" w:rsidRDefault="00DB3E01" w:rsidP="00706DED">
            <w:pPr>
              <w:jc w:val="both"/>
              <w:rPr>
                <w:rFonts w:ascii="Arial" w:hAnsi="Arial" w:cs="Arial"/>
                <w:b/>
                <w:color w:val="000000" w:themeColor="text1"/>
                <w:sz w:val="22"/>
                <w:szCs w:val="22"/>
              </w:rPr>
            </w:pPr>
          </w:p>
          <w:p w14:paraId="2DF7C1D9" w14:textId="7BAFE1CF" w:rsidR="003B4D55" w:rsidRPr="00DB3E01" w:rsidRDefault="0065012F" w:rsidP="003B4D55">
            <w:pPr>
              <w:jc w:val="both"/>
              <w:rPr>
                <w:rFonts w:ascii="Arial" w:hAnsi="Arial" w:cs="Arial"/>
                <w:color w:val="000000" w:themeColor="text1"/>
                <w:sz w:val="22"/>
                <w:szCs w:val="22"/>
                <w:shd w:val="clear" w:color="auto" w:fill="FFFFFF"/>
              </w:rPr>
            </w:pPr>
            <w:r w:rsidRPr="00DB3E01">
              <w:rPr>
                <w:rFonts w:ascii="Arial" w:hAnsi="Arial" w:cs="Arial"/>
                <w:b/>
                <w:color w:val="000000" w:themeColor="text1"/>
                <w:sz w:val="22"/>
                <w:szCs w:val="22"/>
              </w:rPr>
              <w:t>Findings</w:t>
            </w:r>
            <w:r w:rsidR="00B870B0" w:rsidRPr="00DB3E01">
              <w:rPr>
                <w:rFonts w:ascii="Arial" w:hAnsi="Arial" w:cs="Arial"/>
                <w:b/>
                <w:color w:val="000000" w:themeColor="text1"/>
                <w:sz w:val="22"/>
                <w:szCs w:val="22"/>
              </w:rPr>
              <w:t xml:space="preserve"> </w:t>
            </w:r>
            <w:r w:rsidR="0024050E" w:rsidRPr="00DB3E01">
              <w:rPr>
                <w:rFonts w:ascii="Arial" w:hAnsi="Arial" w:cs="Arial"/>
                <w:color w:val="000000" w:themeColor="text1"/>
                <w:sz w:val="22"/>
                <w:szCs w:val="22"/>
                <w:shd w:val="clear" w:color="auto" w:fill="FFFFFF"/>
              </w:rPr>
              <w:t xml:space="preserve">Our analysis suggests an increase in climate-related push factors that could be driving rural out-migration from the north central region to peri-urban settlements in the central region of the country. While push factors play a role in rural-urban migration, there are also several pull factors (many of which have been long-term drivers of urban migration) such as perceived higher wages, diversity of livelihoods, water, health and energy provisioning, remittances, better education opportunities, and the exchange of non-marketed products. Migration to peri-urban settlements can reduce some risks (e.g. loss of crops and income due to climate extremes) but amplify others (e.g. heat stress and insecure land tenure). Adaptation at both ends of the rural–urban continuum is supported by deeply embedded linkages in a model of circular rural–urban-rural migration and interdependencies. </w:t>
            </w:r>
          </w:p>
          <w:p w14:paraId="26DC99F1" w14:textId="77777777" w:rsidR="0065012F" w:rsidRPr="00DB3E01" w:rsidRDefault="0065012F" w:rsidP="00706DED">
            <w:pPr>
              <w:jc w:val="both"/>
              <w:rPr>
                <w:rFonts w:ascii="Arial" w:hAnsi="Arial" w:cs="Arial"/>
                <w:b/>
                <w:color w:val="000000" w:themeColor="text1"/>
                <w:sz w:val="22"/>
                <w:szCs w:val="22"/>
              </w:rPr>
            </w:pPr>
          </w:p>
          <w:p w14:paraId="54C89B90" w14:textId="71217FAB" w:rsidR="00DB3E01" w:rsidRPr="00DB3E01" w:rsidRDefault="0065012F" w:rsidP="003B4D55">
            <w:pPr>
              <w:jc w:val="both"/>
              <w:rPr>
                <w:rFonts w:ascii="Arial" w:hAnsi="Arial" w:cs="Arial"/>
                <w:color w:val="000000" w:themeColor="text1"/>
                <w:sz w:val="22"/>
                <w:szCs w:val="22"/>
                <w:shd w:val="clear" w:color="auto" w:fill="FFFFFF"/>
              </w:rPr>
            </w:pPr>
            <w:r w:rsidRPr="00DB3E01">
              <w:rPr>
                <w:rFonts w:ascii="Arial" w:hAnsi="Arial" w:cs="Arial"/>
                <w:b/>
                <w:color w:val="000000" w:themeColor="text1"/>
                <w:sz w:val="22"/>
                <w:szCs w:val="22"/>
              </w:rPr>
              <w:t xml:space="preserve">Significance of the work for policy and practice </w:t>
            </w:r>
            <w:r w:rsidR="00B870B0" w:rsidRPr="00DB3E01">
              <w:rPr>
                <w:rFonts w:ascii="Arial" w:hAnsi="Arial" w:cs="Arial"/>
                <w:b/>
                <w:color w:val="000000" w:themeColor="text1"/>
                <w:sz w:val="22"/>
                <w:szCs w:val="22"/>
              </w:rPr>
              <w:t xml:space="preserve"> </w:t>
            </w:r>
            <w:r w:rsidR="0024050E" w:rsidRPr="00DB3E01">
              <w:rPr>
                <w:rFonts w:ascii="Arial" w:hAnsi="Arial" w:cs="Arial"/>
                <w:color w:val="000000" w:themeColor="text1"/>
                <w:sz w:val="22"/>
                <w:szCs w:val="22"/>
                <w:shd w:val="clear" w:color="auto" w:fill="FFFFFF"/>
              </w:rPr>
              <w:t>Results empirically inform current and future policy debates around climate mobilities in Namibia, with implications across Africa.</w:t>
            </w:r>
            <w:r w:rsidR="00DB3E01">
              <w:rPr>
                <w:rFonts w:ascii="Arial" w:hAnsi="Arial" w:cs="Arial"/>
                <w:color w:val="000000" w:themeColor="text1"/>
                <w:sz w:val="22"/>
                <w:szCs w:val="22"/>
                <w:shd w:val="clear" w:color="auto" w:fill="FFFFFF"/>
              </w:rPr>
              <w:t xml:space="preserve"> </w:t>
            </w:r>
            <w:r w:rsidR="00DB3E01" w:rsidRPr="00DB3E01">
              <w:rPr>
                <w:rFonts w:ascii="Arial" w:hAnsi="Arial" w:cs="Arial"/>
                <w:color w:val="000000" w:themeColor="text1"/>
                <w:sz w:val="22"/>
                <w:szCs w:val="22"/>
                <w:shd w:val="clear" w:color="auto" w:fill="FFFFFF"/>
              </w:rPr>
              <w:t xml:space="preserve">The issue of climate migration is not something that can be ignored, it is not only a fact but a lived reality for many millions of people, a true grand challenge. How we come together to make decisions, across all levels of policy and governance, will be critical in determining the impacts of climate change on migrant households and those left behind across the rural-peri-urban continuum. Overall, climate migration as an adaptation strategy is increasingly central to sustainability agendas in developing countries (e.g. 2030 Agendas, Paris Agreement, Sendai Framework, New Urban </w:t>
            </w:r>
            <w:r w:rsidR="00DB3E01" w:rsidRPr="00DB3E01">
              <w:rPr>
                <w:rFonts w:ascii="Arial" w:hAnsi="Arial" w:cs="Arial"/>
                <w:color w:val="000000" w:themeColor="text1"/>
                <w:sz w:val="22"/>
                <w:szCs w:val="22"/>
                <w:shd w:val="clear" w:color="auto" w:fill="FFFFFF"/>
              </w:rPr>
              <w:lastRenderedPageBreak/>
              <w:t>Agenda)</w:t>
            </w:r>
            <w:r w:rsidR="00DB3E01">
              <w:rPr>
                <w:rFonts w:ascii="Arial" w:hAnsi="Arial" w:cs="Arial"/>
                <w:color w:val="000000" w:themeColor="text1"/>
                <w:sz w:val="22"/>
                <w:szCs w:val="22"/>
                <w:shd w:val="clear" w:color="auto" w:fill="FFFFFF"/>
              </w:rPr>
              <w:t xml:space="preserve">. </w:t>
            </w:r>
            <w:r w:rsidR="00DB3E01" w:rsidRPr="00DB3E01">
              <w:rPr>
                <w:rFonts w:ascii="Arial" w:hAnsi="Arial" w:cs="Arial"/>
                <w:color w:val="000000" w:themeColor="text1"/>
                <w:sz w:val="22"/>
                <w:szCs w:val="22"/>
                <w:shd w:val="clear" w:color="auto" w:fill="FFFFFF"/>
              </w:rPr>
              <w:t>The need for adaptation planning to better acknowledge climate migration and the embedded rural-peri-urban linkages that support livelihoods and to mitigate such risks is ever more urgent.</w:t>
            </w:r>
          </w:p>
          <w:p w14:paraId="2CBAECD6" w14:textId="729DADBB" w:rsidR="009F4EA0" w:rsidRPr="00940ECF" w:rsidRDefault="009F4EA0" w:rsidP="00940ECF">
            <w:pPr>
              <w:jc w:val="both"/>
              <w:rPr>
                <w:rFonts w:ascii="Arial" w:hAnsi="Arial" w:cs="Arial"/>
                <w:b/>
                <w:sz w:val="22"/>
                <w:szCs w:val="22"/>
              </w:rPr>
            </w:pPr>
          </w:p>
        </w:tc>
      </w:tr>
    </w:tbl>
    <w:p w14:paraId="14FC3BE1" w14:textId="1ED2D544" w:rsidR="00C8423A" w:rsidRPr="00BE099D" w:rsidRDefault="00C8423A" w:rsidP="00375B20">
      <w:pPr>
        <w:tabs>
          <w:tab w:val="left" w:pos="8931"/>
        </w:tabs>
        <w:rPr>
          <w:rFonts w:ascii="Arial" w:hAnsi="Arial" w:cs="Arial"/>
          <w:sz w:val="22"/>
          <w:szCs w:val="22"/>
        </w:rPr>
      </w:pPr>
    </w:p>
    <w:p w14:paraId="15AC9FEF" w14:textId="15B67474" w:rsidR="009010B0" w:rsidRPr="00BE099D" w:rsidRDefault="009010B0" w:rsidP="00247C60">
      <w:pPr>
        <w:rPr>
          <w:rFonts w:ascii="Arial" w:hAnsi="Arial" w:cs="Arial"/>
          <w:sz w:val="22"/>
          <w:szCs w:val="22"/>
        </w:rPr>
      </w:pPr>
    </w:p>
    <w:sectPr w:rsidR="009010B0" w:rsidRPr="00BE099D"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F112407"/>
    <w:multiLevelType w:val="multilevel"/>
    <w:tmpl w:val="AA0E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844930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0726"/>
    <w:rsid w:val="000454E9"/>
    <w:rsid w:val="0006141E"/>
    <w:rsid w:val="00105E39"/>
    <w:rsid w:val="0012195B"/>
    <w:rsid w:val="00132AE5"/>
    <w:rsid w:val="00155315"/>
    <w:rsid w:val="0024050E"/>
    <w:rsid w:val="00247C60"/>
    <w:rsid w:val="00256963"/>
    <w:rsid w:val="002766A4"/>
    <w:rsid w:val="002E3AA3"/>
    <w:rsid w:val="00317356"/>
    <w:rsid w:val="0034503D"/>
    <w:rsid w:val="00354C31"/>
    <w:rsid w:val="00375B20"/>
    <w:rsid w:val="00386D01"/>
    <w:rsid w:val="003A1822"/>
    <w:rsid w:val="003B4D55"/>
    <w:rsid w:val="004049E7"/>
    <w:rsid w:val="00462B90"/>
    <w:rsid w:val="004828A0"/>
    <w:rsid w:val="004B69C7"/>
    <w:rsid w:val="004D193B"/>
    <w:rsid w:val="004D625F"/>
    <w:rsid w:val="004F4CE8"/>
    <w:rsid w:val="004F5C81"/>
    <w:rsid w:val="00531DCF"/>
    <w:rsid w:val="0053222C"/>
    <w:rsid w:val="005469BD"/>
    <w:rsid w:val="00550B17"/>
    <w:rsid w:val="005854B8"/>
    <w:rsid w:val="00596ADC"/>
    <w:rsid w:val="006351E2"/>
    <w:rsid w:val="0065012F"/>
    <w:rsid w:val="0068043B"/>
    <w:rsid w:val="00681CA7"/>
    <w:rsid w:val="0077377B"/>
    <w:rsid w:val="007A1852"/>
    <w:rsid w:val="008235E8"/>
    <w:rsid w:val="008249C2"/>
    <w:rsid w:val="008773DF"/>
    <w:rsid w:val="008A1782"/>
    <w:rsid w:val="008B01BA"/>
    <w:rsid w:val="008B50A0"/>
    <w:rsid w:val="008C0C35"/>
    <w:rsid w:val="008C22AD"/>
    <w:rsid w:val="008C2633"/>
    <w:rsid w:val="008E3D8D"/>
    <w:rsid w:val="008F2F93"/>
    <w:rsid w:val="008F52C2"/>
    <w:rsid w:val="009010B0"/>
    <w:rsid w:val="00906B39"/>
    <w:rsid w:val="00921A60"/>
    <w:rsid w:val="00940ECF"/>
    <w:rsid w:val="00963443"/>
    <w:rsid w:val="009C374A"/>
    <w:rsid w:val="009F4EA0"/>
    <w:rsid w:val="00B026E8"/>
    <w:rsid w:val="00B870B0"/>
    <w:rsid w:val="00BA0872"/>
    <w:rsid w:val="00BA26BB"/>
    <w:rsid w:val="00BC6810"/>
    <w:rsid w:val="00BE099D"/>
    <w:rsid w:val="00BE0B4D"/>
    <w:rsid w:val="00BE58D6"/>
    <w:rsid w:val="00C26081"/>
    <w:rsid w:val="00C4126D"/>
    <w:rsid w:val="00C76C99"/>
    <w:rsid w:val="00C8423A"/>
    <w:rsid w:val="00CE53FE"/>
    <w:rsid w:val="00D01956"/>
    <w:rsid w:val="00D716AD"/>
    <w:rsid w:val="00DB3E01"/>
    <w:rsid w:val="00DB7929"/>
    <w:rsid w:val="00DD1BB3"/>
    <w:rsid w:val="00E612FF"/>
    <w:rsid w:val="00EB1B31"/>
    <w:rsid w:val="00F010EE"/>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Emphasis">
    <w:name w:val="Emphasis"/>
    <w:basedOn w:val="DefaultParagraphFont"/>
    <w:uiPriority w:val="20"/>
    <w:qFormat/>
    <w:rsid w:val="003A1822"/>
    <w:rPr>
      <w:i/>
      <w:iCs/>
    </w:rPr>
  </w:style>
  <w:style w:type="character" w:customStyle="1" w:styleId="anchor-text">
    <w:name w:val="anchor-text"/>
    <w:basedOn w:val="DefaultParagraphFont"/>
    <w:rsid w:val="003A1822"/>
  </w:style>
  <w:style w:type="character" w:styleId="Hyperlink">
    <w:name w:val="Hyperlink"/>
    <w:basedOn w:val="DefaultParagraphFont"/>
    <w:uiPriority w:val="99"/>
    <w:semiHidden/>
    <w:unhideWhenUsed/>
    <w:rsid w:val="00F010EE"/>
    <w:rPr>
      <w:color w:val="0000FF"/>
      <w:u w:val="single"/>
    </w:rPr>
  </w:style>
  <w:style w:type="character" w:customStyle="1" w:styleId="u-custom-list-number">
    <w:name w:val="u-custom-list-number"/>
    <w:basedOn w:val="DefaultParagraphFont"/>
    <w:rsid w:val="00BE099D"/>
  </w:style>
  <w:style w:type="paragraph" w:styleId="NormalWeb">
    <w:name w:val="Normal (Web)"/>
    <w:basedOn w:val="Normal"/>
    <w:uiPriority w:val="99"/>
    <w:unhideWhenUsed/>
    <w:rsid w:val="00BE099D"/>
    <w:pPr>
      <w:spacing w:before="100" w:beforeAutospacing="1" w:after="100" w:afterAutospacing="1"/>
    </w:pPr>
    <w:rPr>
      <w:rFonts w:ascii="Times New Roman" w:eastAsia="Times New Roman" w:hAnsi="Times New Roman" w:cs="Times New Roman"/>
      <w:lang w:val="en-GB" w:eastAsia="en-GB"/>
    </w:rPr>
  </w:style>
  <w:style w:type="paragraph" w:customStyle="1" w:styleId="p1">
    <w:name w:val="p1"/>
    <w:basedOn w:val="Normal"/>
    <w:rsid w:val="003B4D55"/>
    <w:pPr>
      <w:spacing w:before="100" w:beforeAutospacing="1" w:after="100" w:afterAutospacing="1"/>
    </w:pPr>
    <w:rPr>
      <w:rFonts w:ascii="Times New Roman" w:eastAsia="Times New Roman" w:hAnsi="Times New Roman" w:cs="Times New Roman"/>
      <w:lang w:val="en-GB" w:eastAsia="en-GB"/>
    </w:rPr>
  </w:style>
  <w:style w:type="character" w:customStyle="1" w:styleId="s1">
    <w:name w:val="s1"/>
    <w:basedOn w:val="DefaultParagraphFont"/>
    <w:rsid w:val="003B4D55"/>
  </w:style>
  <w:style w:type="character" w:customStyle="1" w:styleId="apple-converted-space">
    <w:name w:val="apple-converted-space"/>
    <w:basedOn w:val="DefaultParagraphFont"/>
    <w:rsid w:val="0024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43156">
      <w:bodyDiv w:val="1"/>
      <w:marLeft w:val="0"/>
      <w:marRight w:val="0"/>
      <w:marTop w:val="0"/>
      <w:marBottom w:val="0"/>
      <w:divBdr>
        <w:top w:val="none" w:sz="0" w:space="0" w:color="auto"/>
        <w:left w:val="none" w:sz="0" w:space="0" w:color="auto"/>
        <w:bottom w:val="none" w:sz="0" w:space="0" w:color="auto"/>
        <w:right w:val="none" w:sz="0" w:space="0" w:color="auto"/>
      </w:divBdr>
    </w:div>
    <w:div w:id="660544025">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73464777">
      <w:bodyDiv w:val="1"/>
      <w:marLeft w:val="0"/>
      <w:marRight w:val="0"/>
      <w:marTop w:val="0"/>
      <w:marBottom w:val="0"/>
      <w:divBdr>
        <w:top w:val="none" w:sz="0" w:space="0" w:color="auto"/>
        <w:left w:val="none" w:sz="0" w:space="0" w:color="auto"/>
        <w:bottom w:val="none" w:sz="0" w:space="0" w:color="auto"/>
        <w:right w:val="none" w:sz="0" w:space="0" w:color="auto"/>
      </w:divBdr>
      <w:divsChild>
        <w:div w:id="795562793">
          <w:marLeft w:val="0"/>
          <w:marRight w:val="0"/>
          <w:marTop w:val="0"/>
          <w:marBottom w:val="240"/>
          <w:divBdr>
            <w:top w:val="none" w:sz="0" w:space="0" w:color="auto"/>
            <w:left w:val="none" w:sz="0" w:space="0" w:color="auto"/>
            <w:bottom w:val="none" w:sz="0" w:space="0" w:color="auto"/>
            <w:right w:val="none" w:sz="0" w:space="0" w:color="auto"/>
          </w:divBdr>
        </w:div>
        <w:div w:id="1722706061">
          <w:marLeft w:val="0"/>
          <w:marRight w:val="0"/>
          <w:marTop w:val="0"/>
          <w:marBottom w:val="240"/>
          <w:divBdr>
            <w:top w:val="none" w:sz="0" w:space="0" w:color="auto"/>
            <w:left w:val="none" w:sz="0" w:space="0" w:color="auto"/>
            <w:bottom w:val="none" w:sz="0" w:space="0" w:color="auto"/>
            <w:right w:val="none" w:sz="0" w:space="0" w:color="auto"/>
          </w:divBdr>
        </w:div>
        <w:div w:id="305277192">
          <w:marLeft w:val="0"/>
          <w:marRight w:val="0"/>
          <w:marTop w:val="0"/>
          <w:marBottom w:val="240"/>
          <w:divBdr>
            <w:top w:val="none" w:sz="0" w:space="0" w:color="auto"/>
            <w:left w:val="none" w:sz="0" w:space="0" w:color="auto"/>
            <w:bottom w:val="none" w:sz="0" w:space="0" w:color="auto"/>
            <w:right w:val="none" w:sz="0" w:space="0" w:color="auto"/>
          </w:divBdr>
        </w:div>
      </w:divsChild>
    </w:div>
    <w:div w:id="997803249">
      <w:bodyDiv w:val="1"/>
      <w:marLeft w:val="0"/>
      <w:marRight w:val="0"/>
      <w:marTop w:val="0"/>
      <w:marBottom w:val="0"/>
      <w:divBdr>
        <w:top w:val="none" w:sz="0" w:space="0" w:color="auto"/>
        <w:left w:val="none" w:sz="0" w:space="0" w:color="auto"/>
        <w:bottom w:val="none" w:sz="0" w:space="0" w:color="auto"/>
        <w:right w:val="none" w:sz="0" w:space="0" w:color="auto"/>
      </w:divBdr>
    </w:div>
    <w:div w:id="1125779234">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0146A-034A-492C-A653-1B41D2D55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cab52c9b-ab33-4221-8af9-54f8f2b86a80"/>
    <ds:schemaRef ds:uri="9c8a2b7b-0bee-4c48-b0a6-23db8982d3bc"/>
    <ds:schemaRef ds:uri="6911e96c-4cc4-42d5-8e43-f93924cf6a05"/>
    <ds:schemaRef ds:uri="http://www.w3.org/XML/1998/namespace"/>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3094</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2025-03-01T20:49:00Z</dcterms:created>
  <dcterms:modified xsi:type="dcterms:W3CDTF">2025-08-14T00:21:00Z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