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1564A4" w:rsidRPr="0050053A" w14:paraId="5C38377B" w14:textId="77777777" w:rsidTr="00F16C54">
        <w:trPr>
          <w:trHeight w:val="547"/>
          <w:jc w:val="center"/>
        </w:trPr>
        <w:tc>
          <w:tcPr>
            <w:tcW w:w="9209" w:type="dxa"/>
            <w:shd w:val="clear" w:color="auto" w:fill="auto"/>
          </w:tcPr>
          <w:p w14:paraId="5C44F357" w14:textId="575F03B9" w:rsidR="001564A4" w:rsidRPr="00E16D68" w:rsidRDefault="00E16D68" w:rsidP="00E16D68">
            <w:pPr>
              <w:rPr>
                <w:rFonts w:ascii="Arial" w:hAnsi="Arial" w:cs="Arial"/>
                <w:b/>
                <w:lang w:eastAsia="en-GB"/>
              </w:rPr>
            </w:pPr>
            <w:r w:rsidRPr="00F16C54">
              <w:rPr>
                <w:rFonts w:ascii="Arial" w:hAnsi="Arial" w:cs="Arial"/>
                <w:b/>
                <w:sz w:val="22"/>
                <w:szCs w:val="22"/>
                <w:lang w:eastAsia="en-GB"/>
              </w:rPr>
              <w:t>Evaluation of COVID-19 Severity Prediction Scores in Aotearoa New Zealand 2022</w:t>
            </w:r>
          </w:p>
        </w:tc>
      </w:tr>
      <w:tr w:rsidR="001564A4" w:rsidRPr="0050053A" w14:paraId="0E2E035C" w14:textId="77777777" w:rsidTr="00F16C54">
        <w:trPr>
          <w:trHeight w:val="1613"/>
          <w:jc w:val="center"/>
        </w:trPr>
        <w:tc>
          <w:tcPr>
            <w:tcW w:w="9209" w:type="dxa"/>
            <w:shd w:val="clear" w:color="auto" w:fill="auto"/>
          </w:tcPr>
          <w:p w14:paraId="73B55295" w14:textId="5560C388" w:rsidR="001564A4" w:rsidRPr="006F593D" w:rsidRDefault="00E16D68" w:rsidP="000A28E2">
            <w:pPr>
              <w:spacing w:before="120" w:after="120"/>
              <w:rPr>
                <w:rFonts w:ascii="Arial" w:hAnsi="Arial" w:cs="Arial"/>
                <w:sz w:val="22"/>
                <w:szCs w:val="22"/>
                <w:u w:val="single"/>
                <w:lang w:eastAsia="zh-CN"/>
              </w:rPr>
            </w:pPr>
            <w:r w:rsidRPr="006F593D">
              <w:rPr>
                <w:rFonts w:ascii="Arial" w:hAnsi="Arial" w:cs="Arial"/>
                <w:bCs/>
                <w:sz w:val="22"/>
                <w:szCs w:val="22"/>
                <w:lang w:eastAsia="en-GB"/>
              </w:rPr>
              <w:t>Maze MJ</w:t>
            </w:r>
            <w:r w:rsidRPr="006F593D">
              <w:rPr>
                <w:rFonts w:ascii="Arial" w:hAnsi="Arial" w:cs="Arial"/>
                <w:bCs/>
                <w:sz w:val="22"/>
                <w:szCs w:val="22"/>
                <w:vertAlign w:val="superscript"/>
                <w:lang w:eastAsia="en-GB"/>
              </w:rPr>
              <w:t>1</w:t>
            </w:r>
            <w:r w:rsidRPr="006F593D">
              <w:rPr>
                <w:rFonts w:ascii="Arial" w:hAnsi="Arial" w:cs="Arial"/>
                <w:bCs/>
                <w:sz w:val="22"/>
                <w:szCs w:val="22"/>
                <w:lang w:eastAsia="en-GB"/>
              </w:rPr>
              <w:t>, Williman J</w:t>
            </w:r>
            <w:r w:rsidRPr="006F593D">
              <w:rPr>
                <w:rFonts w:ascii="Arial" w:hAnsi="Arial" w:cs="Arial"/>
                <w:bCs/>
                <w:sz w:val="22"/>
                <w:szCs w:val="22"/>
                <w:vertAlign w:val="superscript"/>
                <w:lang w:eastAsia="en-GB"/>
              </w:rPr>
              <w:t>2</w:t>
            </w:r>
            <w:r w:rsidRPr="006F593D">
              <w:rPr>
                <w:rFonts w:ascii="Arial" w:hAnsi="Arial" w:cs="Arial"/>
                <w:bCs/>
                <w:sz w:val="22"/>
                <w:szCs w:val="22"/>
                <w:lang w:eastAsia="en-GB"/>
              </w:rPr>
              <w:t>, Best E</w:t>
            </w:r>
            <w:r w:rsidRPr="006F593D">
              <w:rPr>
                <w:rFonts w:ascii="Arial" w:hAnsi="Arial" w:cs="Arial"/>
                <w:bCs/>
                <w:sz w:val="22"/>
                <w:szCs w:val="22"/>
                <w:vertAlign w:val="superscript"/>
                <w:lang w:eastAsia="en-GB"/>
              </w:rPr>
              <w:t>3</w:t>
            </w:r>
            <w:r w:rsidRPr="006F593D">
              <w:rPr>
                <w:rFonts w:ascii="Arial" w:hAnsi="Arial" w:cs="Arial"/>
                <w:bCs/>
                <w:sz w:val="22"/>
                <w:szCs w:val="22"/>
                <w:lang w:eastAsia="en-GB"/>
              </w:rPr>
              <w:t>, Bhally H</w:t>
            </w:r>
            <w:r w:rsidRPr="006F593D">
              <w:rPr>
                <w:rFonts w:ascii="Arial" w:hAnsi="Arial" w:cs="Arial"/>
                <w:bCs/>
                <w:sz w:val="22"/>
                <w:szCs w:val="22"/>
                <w:vertAlign w:val="superscript"/>
                <w:lang w:eastAsia="en-GB"/>
              </w:rPr>
              <w:t>4</w:t>
            </w:r>
            <w:r w:rsidRPr="006F593D">
              <w:rPr>
                <w:rFonts w:ascii="Arial" w:hAnsi="Arial" w:cs="Arial"/>
                <w:bCs/>
                <w:sz w:val="22"/>
                <w:szCs w:val="22"/>
                <w:lang w:eastAsia="en-GB"/>
              </w:rPr>
              <w:t>, Bryce A</w:t>
            </w:r>
            <w:r w:rsidRPr="006F593D">
              <w:rPr>
                <w:rFonts w:ascii="Arial" w:hAnsi="Arial" w:cs="Arial"/>
                <w:bCs/>
                <w:sz w:val="22"/>
                <w:szCs w:val="22"/>
                <w:vertAlign w:val="superscript"/>
                <w:lang w:eastAsia="en-GB"/>
              </w:rPr>
              <w:t>4</w:t>
            </w:r>
            <w:r w:rsidRPr="006F593D">
              <w:rPr>
                <w:rFonts w:ascii="Arial" w:hAnsi="Arial" w:cs="Arial"/>
                <w:bCs/>
                <w:sz w:val="22"/>
                <w:szCs w:val="22"/>
                <w:lang w:eastAsia="en-GB"/>
              </w:rPr>
              <w:t>, Chang CL</w:t>
            </w:r>
            <w:r w:rsidRPr="006F593D">
              <w:rPr>
                <w:rFonts w:ascii="Arial" w:hAnsi="Arial" w:cs="Arial"/>
                <w:bCs/>
                <w:sz w:val="22"/>
                <w:szCs w:val="22"/>
                <w:vertAlign w:val="superscript"/>
                <w:lang w:eastAsia="en-GB"/>
              </w:rPr>
              <w:t>5</w:t>
            </w:r>
            <w:r w:rsidRPr="006F593D">
              <w:rPr>
                <w:rFonts w:ascii="Arial" w:hAnsi="Arial" w:cs="Arial"/>
                <w:bCs/>
                <w:sz w:val="22"/>
                <w:szCs w:val="22"/>
                <w:lang w:eastAsia="en-GB"/>
              </w:rPr>
              <w:t>, Chen K</w:t>
            </w:r>
            <w:r w:rsidRPr="006F593D">
              <w:rPr>
                <w:rFonts w:ascii="Arial" w:hAnsi="Arial" w:cs="Arial"/>
                <w:bCs/>
                <w:sz w:val="22"/>
                <w:szCs w:val="22"/>
                <w:vertAlign w:val="superscript"/>
                <w:lang w:eastAsia="en-GB"/>
              </w:rPr>
              <w:t>6</w:t>
            </w:r>
            <w:r w:rsidRPr="006F593D">
              <w:rPr>
                <w:rFonts w:ascii="Arial" w:hAnsi="Arial" w:cs="Arial"/>
                <w:bCs/>
                <w:sz w:val="22"/>
                <w:szCs w:val="22"/>
                <w:lang w:eastAsia="en-GB"/>
              </w:rPr>
              <w:t>,  Dummer J</w:t>
            </w:r>
            <w:r w:rsidRPr="006F593D">
              <w:rPr>
                <w:rFonts w:ascii="Arial" w:hAnsi="Arial" w:cs="Arial"/>
                <w:bCs/>
                <w:sz w:val="22"/>
                <w:szCs w:val="22"/>
                <w:vertAlign w:val="superscript"/>
                <w:lang w:eastAsia="en-GB"/>
              </w:rPr>
              <w:t>8</w:t>
            </w:r>
            <w:r w:rsidRPr="006F593D">
              <w:rPr>
                <w:rFonts w:ascii="Arial" w:hAnsi="Arial" w:cs="Arial"/>
                <w:bCs/>
                <w:sz w:val="22"/>
                <w:szCs w:val="22"/>
                <w:lang w:eastAsia="en-GB"/>
              </w:rPr>
              <w:t>, Epton M</w:t>
            </w:r>
            <w:r w:rsidRPr="006F593D">
              <w:rPr>
                <w:rFonts w:ascii="Arial" w:hAnsi="Arial" w:cs="Arial"/>
                <w:bCs/>
                <w:sz w:val="22"/>
                <w:szCs w:val="22"/>
                <w:vertAlign w:val="superscript"/>
                <w:lang w:eastAsia="en-GB"/>
              </w:rPr>
              <w:t>9</w:t>
            </w:r>
            <w:r w:rsidRPr="006F593D">
              <w:rPr>
                <w:rFonts w:ascii="Arial" w:hAnsi="Arial" w:cs="Arial"/>
                <w:bCs/>
                <w:sz w:val="22"/>
                <w:szCs w:val="22"/>
                <w:lang w:eastAsia="en-GB"/>
              </w:rPr>
              <w:t>, Good W</w:t>
            </w:r>
            <w:r w:rsidRPr="006F593D">
              <w:rPr>
                <w:rFonts w:ascii="Arial" w:hAnsi="Arial" w:cs="Arial"/>
                <w:bCs/>
                <w:sz w:val="22"/>
                <w:szCs w:val="22"/>
                <w:vertAlign w:val="superscript"/>
                <w:lang w:eastAsia="en-GB"/>
              </w:rPr>
              <w:t>10</w:t>
            </w:r>
            <w:r w:rsidRPr="006F593D">
              <w:rPr>
                <w:rFonts w:ascii="Arial" w:hAnsi="Arial" w:cs="Arial"/>
                <w:bCs/>
                <w:sz w:val="22"/>
                <w:szCs w:val="22"/>
                <w:lang w:eastAsia="en-GB"/>
              </w:rPr>
              <w:t>, Goodison J</w:t>
            </w:r>
            <w:r w:rsidRPr="006F593D">
              <w:rPr>
                <w:rFonts w:ascii="Arial" w:hAnsi="Arial" w:cs="Arial"/>
                <w:bCs/>
                <w:sz w:val="22"/>
                <w:szCs w:val="22"/>
                <w:vertAlign w:val="superscript"/>
                <w:lang w:eastAsia="en-GB"/>
              </w:rPr>
              <w:t>6</w:t>
            </w:r>
            <w:r w:rsidRPr="006F593D">
              <w:rPr>
                <w:rFonts w:ascii="Arial" w:hAnsi="Arial" w:cs="Arial"/>
                <w:bCs/>
                <w:sz w:val="22"/>
                <w:szCs w:val="22"/>
                <w:lang w:eastAsia="en-GB"/>
              </w:rPr>
              <w:t>, Grey C</w:t>
            </w:r>
            <w:r w:rsidRPr="006F593D">
              <w:rPr>
                <w:rFonts w:ascii="Arial" w:hAnsi="Arial" w:cs="Arial"/>
                <w:bCs/>
                <w:sz w:val="22"/>
                <w:szCs w:val="22"/>
                <w:vertAlign w:val="superscript"/>
                <w:lang w:eastAsia="en-GB"/>
              </w:rPr>
              <w:t>11</w:t>
            </w:r>
            <w:r w:rsidRPr="006F593D">
              <w:rPr>
                <w:rFonts w:ascii="Arial" w:hAnsi="Arial" w:cs="Arial"/>
                <w:bCs/>
                <w:sz w:val="22"/>
                <w:szCs w:val="22"/>
                <w:lang w:eastAsia="en-GB"/>
              </w:rPr>
              <w:t>, Grimwade K</w:t>
            </w:r>
            <w:r w:rsidRPr="006F593D">
              <w:rPr>
                <w:rFonts w:ascii="Arial" w:hAnsi="Arial" w:cs="Arial"/>
                <w:bCs/>
                <w:sz w:val="22"/>
                <w:szCs w:val="22"/>
                <w:vertAlign w:val="superscript"/>
                <w:lang w:eastAsia="en-GB"/>
              </w:rPr>
              <w:t>6</w:t>
            </w:r>
            <w:r w:rsidRPr="006F593D">
              <w:rPr>
                <w:rFonts w:ascii="Arial" w:hAnsi="Arial" w:cs="Arial"/>
                <w:bCs/>
                <w:sz w:val="22"/>
                <w:szCs w:val="22"/>
                <w:lang w:eastAsia="en-GB"/>
              </w:rPr>
              <w:t>, Hancox RJ</w:t>
            </w:r>
            <w:r w:rsidRPr="006F593D">
              <w:rPr>
                <w:rFonts w:ascii="Arial" w:hAnsi="Arial" w:cs="Arial"/>
                <w:bCs/>
                <w:sz w:val="22"/>
                <w:szCs w:val="22"/>
                <w:vertAlign w:val="superscript"/>
                <w:lang w:eastAsia="en-GB"/>
              </w:rPr>
              <w:t>5,12</w:t>
            </w:r>
            <w:r w:rsidRPr="006F593D">
              <w:rPr>
                <w:rFonts w:ascii="Arial" w:hAnsi="Arial" w:cs="Arial"/>
                <w:bCs/>
                <w:sz w:val="22"/>
                <w:szCs w:val="22"/>
                <w:lang w:eastAsia="en-GB"/>
              </w:rPr>
              <w:t>, Hassan R</w:t>
            </w:r>
            <w:r w:rsidRPr="006F593D">
              <w:rPr>
                <w:rFonts w:ascii="Arial" w:hAnsi="Arial" w:cs="Arial"/>
                <w:bCs/>
                <w:sz w:val="22"/>
                <w:szCs w:val="22"/>
                <w:vertAlign w:val="superscript"/>
                <w:lang w:eastAsia="en-GB"/>
              </w:rPr>
              <w:t>4</w:t>
            </w:r>
            <w:r w:rsidRPr="006F593D">
              <w:rPr>
                <w:rFonts w:ascii="Arial" w:hAnsi="Arial" w:cs="Arial"/>
                <w:bCs/>
                <w:sz w:val="22"/>
                <w:szCs w:val="22"/>
                <w:lang w:eastAsia="en-GB"/>
              </w:rPr>
              <w:t>, Hills T</w:t>
            </w:r>
            <w:r w:rsidRPr="006F593D">
              <w:rPr>
                <w:rFonts w:ascii="Arial" w:hAnsi="Arial" w:cs="Arial"/>
                <w:bCs/>
                <w:sz w:val="22"/>
                <w:szCs w:val="22"/>
                <w:vertAlign w:val="superscript"/>
                <w:lang w:eastAsia="en-GB"/>
              </w:rPr>
              <w:t>13</w:t>
            </w:r>
            <w:r w:rsidRPr="006F593D">
              <w:rPr>
                <w:rFonts w:ascii="Arial" w:hAnsi="Arial" w:cs="Arial"/>
                <w:bCs/>
                <w:sz w:val="22"/>
                <w:szCs w:val="22"/>
                <w:lang w:eastAsia="en-GB"/>
              </w:rPr>
              <w:t>, Hotu S</w:t>
            </w:r>
            <w:r w:rsidRPr="006F593D">
              <w:rPr>
                <w:rFonts w:ascii="Arial" w:hAnsi="Arial" w:cs="Arial"/>
                <w:bCs/>
                <w:sz w:val="22"/>
                <w:szCs w:val="22"/>
                <w:vertAlign w:val="superscript"/>
                <w:lang w:eastAsia="en-GB"/>
              </w:rPr>
              <w:t>14</w:t>
            </w:r>
            <w:r w:rsidRPr="006F593D">
              <w:rPr>
                <w:rFonts w:ascii="Arial" w:hAnsi="Arial" w:cs="Arial"/>
                <w:bCs/>
                <w:sz w:val="22"/>
                <w:szCs w:val="22"/>
                <w:lang w:eastAsia="en-GB"/>
              </w:rPr>
              <w:t>, McArthur C</w:t>
            </w:r>
            <w:r w:rsidRPr="006F593D">
              <w:rPr>
                <w:rFonts w:ascii="Arial" w:hAnsi="Arial" w:cs="Arial"/>
                <w:bCs/>
                <w:sz w:val="22"/>
                <w:szCs w:val="22"/>
                <w:vertAlign w:val="superscript"/>
                <w:lang w:eastAsia="en-GB"/>
              </w:rPr>
              <w:t>15</w:t>
            </w:r>
            <w:r w:rsidRPr="006F593D">
              <w:rPr>
                <w:rFonts w:ascii="Arial" w:hAnsi="Arial" w:cs="Arial"/>
                <w:bCs/>
                <w:sz w:val="22"/>
                <w:szCs w:val="22"/>
                <w:lang w:eastAsia="en-GB"/>
              </w:rPr>
              <w:t>, Morpeth S</w:t>
            </w:r>
            <w:r w:rsidRPr="006F593D">
              <w:rPr>
                <w:rFonts w:ascii="Arial" w:hAnsi="Arial" w:cs="Arial"/>
                <w:bCs/>
                <w:sz w:val="22"/>
                <w:szCs w:val="22"/>
                <w:vertAlign w:val="superscript"/>
                <w:lang w:eastAsia="en-GB"/>
              </w:rPr>
              <w:t>16</w:t>
            </w:r>
            <w:r w:rsidRPr="006F593D">
              <w:rPr>
                <w:rFonts w:ascii="Arial" w:hAnsi="Arial" w:cs="Arial"/>
                <w:bCs/>
                <w:sz w:val="22"/>
                <w:szCs w:val="22"/>
                <w:lang w:eastAsia="en-GB"/>
              </w:rPr>
              <w:t>, Murdoch D</w:t>
            </w:r>
            <w:r w:rsidRPr="006F593D">
              <w:rPr>
                <w:rFonts w:ascii="Arial" w:hAnsi="Arial" w:cs="Arial"/>
                <w:bCs/>
                <w:sz w:val="22"/>
                <w:szCs w:val="22"/>
                <w:vertAlign w:val="superscript"/>
                <w:lang w:eastAsia="en-GB"/>
              </w:rPr>
              <w:t>17</w:t>
            </w:r>
            <w:r w:rsidRPr="006F593D">
              <w:rPr>
                <w:rFonts w:ascii="Arial" w:hAnsi="Arial" w:cs="Arial"/>
                <w:bCs/>
                <w:sz w:val="22"/>
                <w:szCs w:val="22"/>
                <w:lang w:eastAsia="en-GB"/>
              </w:rPr>
              <w:t>, Pylypchuk R</w:t>
            </w:r>
            <w:r w:rsidRPr="006F593D">
              <w:rPr>
                <w:rFonts w:ascii="Arial" w:hAnsi="Arial" w:cs="Arial"/>
                <w:bCs/>
                <w:sz w:val="22"/>
                <w:szCs w:val="22"/>
                <w:vertAlign w:val="superscript"/>
                <w:lang w:eastAsia="en-GB"/>
              </w:rPr>
              <w:t>18</w:t>
            </w:r>
            <w:r w:rsidRPr="006F593D">
              <w:rPr>
                <w:rFonts w:ascii="Arial" w:hAnsi="Arial" w:cs="Arial"/>
                <w:bCs/>
                <w:sz w:val="22"/>
                <w:szCs w:val="22"/>
                <w:lang w:eastAsia="en-GB"/>
              </w:rPr>
              <w:t>, Raymond N</w:t>
            </w:r>
            <w:r w:rsidRPr="006F593D">
              <w:rPr>
                <w:rFonts w:ascii="Arial" w:hAnsi="Arial" w:cs="Arial"/>
                <w:bCs/>
                <w:sz w:val="22"/>
                <w:szCs w:val="22"/>
                <w:vertAlign w:val="superscript"/>
                <w:lang w:eastAsia="en-GB"/>
              </w:rPr>
              <w:t>19</w:t>
            </w:r>
            <w:r w:rsidRPr="006F593D">
              <w:rPr>
                <w:rFonts w:ascii="Arial" w:hAnsi="Arial" w:cs="Arial"/>
                <w:bCs/>
                <w:sz w:val="22"/>
                <w:szCs w:val="22"/>
                <w:lang w:eastAsia="en-GB"/>
              </w:rPr>
              <w:t>, Ritchie S</w:t>
            </w:r>
            <w:r w:rsidRPr="006F593D">
              <w:rPr>
                <w:rFonts w:ascii="Arial" w:hAnsi="Arial" w:cs="Arial"/>
                <w:bCs/>
                <w:sz w:val="22"/>
                <w:szCs w:val="22"/>
                <w:vertAlign w:val="superscript"/>
                <w:lang w:eastAsia="en-GB"/>
              </w:rPr>
              <w:t>13</w:t>
            </w:r>
            <w:r w:rsidRPr="006F593D">
              <w:rPr>
                <w:rFonts w:ascii="Arial" w:hAnsi="Arial" w:cs="Arial"/>
                <w:bCs/>
                <w:sz w:val="22"/>
                <w:szCs w:val="22"/>
                <w:lang w:eastAsia="en-GB"/>
              </w:rPr>
              <w:t>, Ryan D</w:t>
            </w:r>
            <w:r w:rsidRPr="006F593D">
              <w:rPr>
                <w:rFonts w:ascii="Arial" w:hAnsi="Arial" w:cs="Arial"/>
                <w:bCs/>
                <w:sz w:val="22"/>
                <w:szCs w:val="22"/>
                <w:vertAlign w:val="superscript"/>
                <w:lang w:eastAsia="en-GB"/>
              </w:rPr>
              <w:t>20</w:t>
            </w:r>
            <w:r w:rsidRPr="006F593D">
              <w:rPr>
                <w:rFonts w:ascii="Arial" w:hAnsi="Arial" w:cs="Arial"/>
                <w:bCs/>
                <w:sz w:val="22"/>
                <w:szCs w:val="22"/>
                <w:lang w:eastAsia="en-GB"/>
              </w:rPr>
              <w:t>, Storer M</w:t>
            </w:r>
            <w:r w:rsidRPr="006F593D">
              <w:rPr>
                <w:rFonts w:ascii="Arial" w:hAnsi="Arial" w:cs="Arial"/>
                <w:bCs/>
                <w:sz w:val="22"/>
                <w:szCs w:val="22"/>
                <w:vertAlign w:val="superscript"/>
                <w:lang w:eastAsia="en-GB"/>
              </w:rPr>
              <w:t>9</w:t>
            </w:r>
            <w:r w:rsidRPr="006F593D">
              <w:rPr>
                <w:rFonts w:ascii="Arial" w:hAnsi="Arial" w:cs="Arial"/>
                <w:bCs/>
                <w:sz w:val="22"/>
                <w:szCs w:val="22"/>
                <w:lang w:eastAsia="en-GB"/>
              </w:rPr>
              <w:t>, Walls T</w:t>
            </w:r>
            <w:r w:rsidRPr="006F593D">
              <w:rPr>
                <w:rFonts w:ascii="Arial" w:hAnsi="Arial" w:cs="Arial"/>
                <w:bCs/>
                <w:sz w:val="22"/>
                <w:szCs w:val="22"/>
                <w:vertAlign w:val="superscript"/>
                <w:lang w:eastAsia="en-GB"/>
              </w:rPr>
              <w:t>21</w:t>
            </w:r>
            <w:r w:rsidRPr="006F593D">
              <w:rPr>
                <w:rFonts w:ascii="Arial" w:hAnsi="Arial" w:cs="Arial"/>
                <w:bCs/>
                <w:sz w:val="22"/>
                <w:szCs w:val="22"/>
                <w:lang w:eastAsia="en-GB"/>
              </w:rPr>
              <w:t>, Webb R</w:t>
            </w:r>
            <w:r w:rsidRPr="006F593D">
              <w:rPr>
                <w:rFonts w:ascii="Arial" w:hAnsi="Arial" w:cs="Arial"/>
                <w:bCs/>
                <w:sz w:val="22"/>
                <w:szCs w:val="22"/>
                <w:vertAlign w:val="superscript"/>
                <w:lang w:eastAsia="en-GB"/>
              </w:rPr>
              <w:t>3</w:t>
            </w:r>
            <w:r w:rsidRPr="006F593D">
              <w:rPr>
                <w:rFonts w:ascii="Arial" w:hAnsi="Arial" w:cs="Arial"/>
                <w:bCs/>
                <w:sz w:val="22"/>
                <w:szCs w:val="22"/>
                <w:lang w:eastAsia="en-GB"/>
              </w:rPr>
              <w:t>, Wong C</w:t>
            </w:r>
            <w:r w:rsidRPr="006F593D">
              <w:rPr>
                <w:rFonts w:ascii="Arial" w:hAnsi="Arial" w:cs="Arial"/>
                <w:bCs/>
                <w:sz w:val="22"/>
                <w:szCs w:val="22"/>
                <w:vertAlign w:val="superscript"/>
                <w:lang w:eastAsia="en-GB"/>
              </w:rPr>
              <w:t>10,22</w:t>
            </w:r>
            <w:r w:rsidRPr="006F593D">
              <w:rPr>
                <w:rFonts w:ascii="Arial" w:hAnsi="Arial" w:cs="Arial"/>
                <w:bCs/>
                <w:sz w:val="22"/>
                <w:szCs w:val="22"/>
                <w:lang w:eastAsia="en-GB"/>
              </w:rPr>
              <w:t>, Wright K</w:t>
            </w:r>
            <w:r w:rsidRPr="006F593D">
              <w:rPr>
                <w:rFonts w:ascii="Arial" w:hAnsi="Arial" w:cs="Arial"/>
                <w:bCs/>
                <w:sz w:val="22"/>
                <w:szCs w:val="22"/>
                <w:vertAlign w:val="superscript"/>
                <w:lang w:eastAsia="en-GB"/>
              </w:rPr>
              <w:t>7</w:t>
            </w:r>
          </w:p>
        </w:tc>
      </w:tr>
      <w:tr w:rsidR="001564A4" w:rsidRPr="0050053A" w14:paraId="385A19D9" w14:textId="77777777" w:rsidTr="00F16C54">
        <w:trPr>
          <w:trHeight w:val="135"/>
          <w:jc w:val="center"/>
        </w:trPr>
        <w:tc>
          <w:tcPr>
            <w:tcW w:w="9209" w:type="dxa"/>
            <w:shd w:val="clear" w:color="auto" w:fill="auto"/>
          </w:tcPr>
          <w:p w14:paraId="45ED36BF" w14:textId="0EA1D289" w:rsidR="001564A4" w:rsidRPr="006F593D" w:rsidRDefault="00E16D68" w:rsidP="00E16D68">
            <w:pPr>
              <w:rPr>
                <w:rFonts w:ascii="Arial" w:hAnsi="Arial" w:cs="Arial"/>
                <w:i/>
                <w:lang w:eastAsia="en-GB"/>
              </w:rPr>
            </w:pPr>
            <w:r w:rsidRPr="006F593D">
              <w:rPr>
                <w:rFonts w:ascii="Arial" w:hAnsi="Arial" w:cs="Arial"/>
                <w:i/>
                <w:sz w:val="22"/>
                <w:lang w:val="en-US" w:eastAsia="en-GB"/>
              </w:rPr>
              <w:t xml:space="preserve">1. Department of Medicine, University of Otago, Christchurch, 2. Department of Population Health, University of Otago, Christchurch, 3. Department of </w:t>
            </w:r>
            <w:proofErr w:type="spellStart"/>
            <w:r w:rsidRPr="006F593D">
              <w:rPr>
                <w:rFonts w:ascii="Arial" w:hAnsi="Arial" w:cs="Arial"/>
                <w:i/>
                <w:sz w:val="22"/>
                <w:lang w:val="en-US" w:eastAsia="en-GB"/>
              </w:rPr>
              <w:t>Paediatrics</w:t>
            </w:r>
            <w:proofErr w:type="spellEnd"/>
            <w:r w:rsidRPr="006F593D">
              <w:rPr>
                <w:rFonts w:ascii="Arial" w:hAnsi="Arial" w:cs="Arial"/>
                <w:i/>
                <w:sz w:val="22"/>
                <w:lang w:val="en-US" w:eastAsia="en-GB"/>
              </w:rPr>
              <w:t xml:space="preserve">, University of Auckland, 4. Infectious Diseases Department, Te </w:t>
            </w:r>
            <w:proofErr w:type="spellStart"/>
            <w:r w:rsidRPr="006F593D">
              <w:rPr>
                <w:rFonts w:ascii="Arial" w:hAnsi="Arial" w:cs="Arial"/>
                <w:i/>
                <w:sz w:val="22"/>
                <w:lang w:val="en-US" w:eastAsia="en-GB"/>
              </w:rPr>
              <w:t>Whatu</w:t>
            </w:r>
            <w:proofErr w:type="spellEnd"/>
            <w:r w:rsidRPr="006F593D">
              <w:rPr>
                <w:rFonts w:ascii="Arial" w:hAnsi="Arial" w:cs="Arial"/>
                <w:i/>
                <w:sz w:val="22"/>
                <w:lang w:val="en-US" w:eastAsia="en-GB"/>
              </w:rPr>
              <w:t xml:space="preserve"> Ora </w:t>
            </w:r>
            <w:proofErr w:type="spellStart"/>
            <w:r w:rsidRPr="006F593D">
              <w:rPr>
                <w:rFonts w:ascii="Arial" w:hAnsi="Arial" w:cs="Arial"/>
                <w:i/>
                <w:sz w:val="22"/>
                <w:lang w:val="en-US" w:eastAsia="en-GB"/>
              </w:rPr>
              <w:t>Waitematā</w:t>
            </w:r>
            <w:proofErr w:type="spellEnd"/>
            <w:r w:rsidRPr="006F593D">
              <w:rPr>
                <w:rFonts w:ascii="Arial" w:hAnsi="Arial" w:cs="Arial"/>
                <w:i/>
                <w:sz w:val="22"/>
                <w:lang w:val="en-US" w:eastAsia="en-GB"/>
              </w:rPr>
              <w:t xml:space="preserve">, 5. Respiratory Department, Te Whatu Ora Waikato, 6. Infectious Diseases Department, Te Whatu Ora Hauora a Toi Bay of Plenty, 7. Te Kupenga Hauora Māori, University of Auckland, 8. Department of Medicine, University of Otago, 9. Respiratory Department, Te </w:t>
            </w:r>
            <w:proofErr w:type="spellStart"/>
            <w:r w:rsidRPr="006F593D">
              <w:rPr>
                <w:rFonts w:ascii="Arial" w:hAnsi="Arial" w:cs="Arial"/>
                <w:i/>
                <w:sz w:val="22"/>
                <w:lang w:val="en-US" w:eastAsia="en-GB"/>
              </w:rPr>
              <w:t>Whatu</w:t>
            </w:r>
            <w:proofErr w:type="spellEnd"/>
            <w:r w:rsidRPr="006F593D">
              <w:rPr>
                <w:rFonts w:ascii="Arial" w:hAnsi="Arial" w:cs="Arial"/>
                <w:i/>
                <w:sz w:val="22"/>
                <w:lang w:val="en-US" w:eastAsia="en-GB"/>
              </w:rPr>
              <w:t xml:space="preserve"> Ora </w:t>
            </w:r>
            <w:proofErr w:type="spellStart"/>
            <w:r w:rsidRPr="006F593D">
              <w:rPr>
                <w:rFonts w:ascii="Arial" w:hAnsi="Arial" w:cs="Arial"/>
                <w:i/>
                <w:sz w:val="22"/>
                <w:lang w:val="en-US" w:eastAsia="en-GB"/>
              </w:rPr>
              <w:t>Waitaha</w:t>
            </w:r>
            <w:proofErr w:type="spellEnd"/>
            <w:r w:rsidRPr="006F593D">
              <w:rPr>
                <w:rFonts w:ascii="Arial" w:hAnsi="Arial" w:cs="Arial"/>
                <w:i/>
                <w:sz w:val="22"/>
                <w:lang w:val="en-US" w:eastAsia="en-GB"/>
              </w:rPr>
              <w:t xml:space="preserve"> Canterbury, 10. Respiratory Department, Te Whatu Ora Counties Manukau, 11. Department of General Practice and Primary Healthcare, University of Auckland, 12. Department of Preventive and Social Medicine, University of Otago, 13. Department of Infectious Diseases, Te Whatu Ora Auckland, 14. Respiratory Medicine Department, Te Whatu Ora Auckland, 15. Department of Critical Care Medicine, Te Whatu Ora Auckland, 16. Department of Infectious Diseases, Te Whatu Ora Counties Manukau, 17. Department of Pathology and Biomedical Science, University of Otago, Christchurch, 18. Department of Epidemiology and Biostatistics, University of Auckland, 19. Department of Infectious Diseases, Te Whatu Ora Capital, Coast and Hutt Valley, 20. Pacific Perspectives, Wellington, 21. Department of </w:t>
            </w:r>
            <w:proofErr w:type="spellStart"/>
            <w:r w:rsidRPr="006F593D">
              <w:rPr>
                <w:rFonts w:ascii="Arial" w:hAnsi="Arial" w:cs="Arial"/>
                <w:i/>
                <w:sz w:val="22"/>
                <w:lang w:val="en-US" w:eastAsia="en-GB"/>
              </w:rPr>
              <w:t>Paediatrics</w:t>
            </w:r>
            <w:proofErr w:type="spellEnd"/>
            <w:r w:rsidRPr="006F593D">
              <w:rPr>
                <w:rFonts w:ascii="Arial" w:hAnsi="Arial" w:cs="Arial"/>
                <w:i/>
                <w:sz w:val="22"/>
                <w:lang w:val="en-US" w:eastAsia="en-GB"/>
              </w:rPr>
              <w:t>, University of Otago, Christchurch, 22. Faculty of Medical and Health Sciences, University of Auckland.</w:t>
            </w:r>
          </w:p>
        </w:tc>
      </w:tr>
      <w:tr w:rsidR="001564A4" w:rsidRPr="0050053A" w14:paraId="6DAF615A" w14:textId="77777777" w:rsidTr="00F16C54">
        <w:trPr>
          <w:trHeight w:hRule="exact" w:val="6956"/>
          <w:jc w:val="center"/>
        </w:trPr>
        <w:tc>
          <w:tcPr>
            <w:tcW w:w="9209" w:type="dxa"/>
            <w:shd w:val="clear" w:color="auto" w:fill="auto"/>
          </w:tcPr>
          <w:p w14:paraId="2251F6D5" w14:textId="3B462B0C" w:rsidR="001564A4" w:rsidRPr="00E16D68" w:rsidRDefault="001564A4" w:rsidP="000A28E2">
            <w:pPr>
              <w:pStyle w:val="Pa12"/>
              <w:rPr>
                <w:color w:val="000000"/>
                <w:sz w:val="20"/>
                <w:szCs w:val="22"/>
              </w:rPr>
            </w:pPr>
            <w:r>
              <w:rPr>
                <w:rStyle w:val="A4"/>
                <w:b/>
                <w:bCs/>
              </w:rPr>
              <w:t>Introduction/</w:t>
            </w:r>
            <w:r w:rsidRPr="0050053A">
              <w:rPr>
                <w:rStyle w:val="A4"/>
                <w:b/>
                <w:bCs/>
              </w:rPr>
              <w:t xml:space="preserve">Aim: </w:t>
            </w:r>
            <w:r w:rsidR="00E16D68" w:rsidRPr="00E16D68">
              <w:rPr>
                <w:sz w:val="22"/>
                <w:lang w:val="en-US" w:eastAsia="en-GB"/>
              </w:rPr>
              <w:t xml:space="preserve">COVID-19 severity prediction scores are useful for clinical </w:t>
            </w:r>
            <w:proofErr w:type="gramStart"/>
            <w:r w:rsidR="00E16D68" w:rsidRPr="00E16D68">
              <w:rPr>
                <w:sz w:val="22"/>
                <w:lang w:val="en-US" w:eastAsia="en-GB"/>
              </w:rPr>
              <w:t>management, but</w:t>
            </w:r>
            <w:proofErr w:type="gramEnd"/>
            <w:r w:rsidR="00E16D68" w:rsidRPr="00E16D68">
              <w:rPr>
                <w:sz w:val="22"/>
                <w:lang w:val="en-US" w:eastAsia="en-GB"/>
              </w:rPr>
              <w:t xml:space="preserve"> need evaluation in the contemporary New Zealand context.</w:t>
            </w:r>
            <w:r w:rsidR="00E16D68" w:rsidRPr="00E16D68">
              <w:rPr>
                <w:b/>
                <w:sz w:val="22"/>
                <w:lang w:val="en-US" w:eastAsia="en-GB"/>
              </w:rPr>
              <w:t xml:space="preserve"> </w:t>
            </w:r>
            <w:r w:rsidR="00E16D68" w:rsidRPr="00E16D68">
              <w:rPr>
                <w:sz w:val="22"/>
                <w:lang w:val="en-US"/>
              </w:rPr>
              <w:t>We sought to describe COVID-19 related illness and evaluate existing severity scores.</w:t>
            </w:r>
          </w:p>
          <w:p w14:paraId="3D770CF7" w14:textId="77777777" w:rsidR="001564A4" w:rsidRPr="0050053A" w:rsidRDefault="001564A4" w:rsidP="000A28E2">
            <w:pPr>
              <w:pStyle w:val="Pa12"/>
              <w:rPr>
                <w:rStyle w:val="A4"/>
                <w:bCs/>
              </w:rPr>
            </w:pPr>
          </w:p>
          <w:p w14:paraId="1B39336E" w14:textId="0C2E7700" w:rsidR="001564A4" w:rsidRPr="00E16D68" w:rsidRDefault="001564A4" w:rsidP="000A28E2">
            <w:pPr>
              <w:pStyle w:val="Pa12"/>
              <w:rPr>
                <w:rStyle w:val="A4"/>
                <w:b/>
                <w:bCs/>
                <w:sz w:val="20"/>
              </w:rPr>
            </w:pPr>
            <w:r w:rsidRPr="0050053A">
              <w:rPr>
                <w:rStyle w:val="A4"/>
                <w:b/>
                <w:bCs/>
              </w:rPr>
              <w:t>Method</w:t>
            </w:r>
            <w:r>
              <w:rPr>
                <w:rStyle w:val="A4"/>
                <w:b/>
                <w:bCs/>
              </w:rPr>
              <w:t>s</w:t>
            </w:r>
            <w:r w:rsidRPr="0050053A">
              <w:rPr>
                <w:rStyle w:val="A4"/>
                <w:b/>
                <w:bCs/>
              </w:rPr>
              <w:t xml:space="preserve">: </w:t>
            </w:r>
            <w:r w:rsidR="00E16D68" w:rsidRPr="00E16D68">
              <w:rPr>
                <w:sz w:val="22"/>
                <w:szCs w:val="20"/>
              </w:rPr>
              <w:t xml:space="preserve">We conducted a Tiriti-centred retrospective cohort study in adults (age </w:t>
            </w:r>
            <w:r w:rsidR="00E16D68" w:rsidRPr="00E16D68">
              <w:rPr>
                <w:rFonts w:ascii="Calibri" w:hAnsi="Calibri" w:cs="Calibri"/>
                <w:sz w:val="22"/>
                <w:szCs w:val="20"/>
              </w:rPr>
              <w:t>≥</w:t>
            </w:r>
            <w:r w:rsidR="00E16D68" w:rsidRPr="00E16D68">
              <w:rPr>
                <w:sz w:val="22"/>
                <w:szCs w:val="20"/>
              </w:rPr>
              <w:t>16 years with COVID-19, hospitalised at 11 hospitals from 1 January – 1 May 2022, including all Māori and Pacific, and every second non-Māori, non-Pacific (NMNP) patient to achieve sufficient analytic power for each ethnic grouping. We conducted chart review and linked to national datasets. We evaluated attribution of admission to COVID-19, collected clinical data; and assessed the accuracy of severity scores to predict death in hospital or within 28 days.</w:t>
            </w:r>
          </w:p>
          <w:p w14:paraId="7951083B" w14:textId="77777777" w:rsidR="00E16D68" w:rsidRDefault="00E16D68" w:rsidP="000A28E2">
            <w:pPr>
              <w:pStyle w:val="Pa12"/>
              <w:rPr>
                <w:rStyle w:val="A4"/>
                <w:b/>
                <w:bCs/>
              </w:rPr>
            </w:pPr>
          </w:p>
          <w:p w14:paraId="6BF3F094" w14:textId="20D34418" w:rsidR="001564A4" w:rsidRPr="0050053A" w:rsidRDefault="001564A4" w:rsidP="000A28E2">
            <w:pPr>
              <w:pStyle w:val="Pa12"/>
              <w:rPr>
                <w:rStyle w:val="A4"/>
                <w:b/>
                <w:bCs/>
              </w:rPr>
            </w:pPr>
            <w:r w:rsidRPr="0050053A">
              <w:rPr>
                <w:rStyle w:val="A4"/>
                <w:b/>
                <w:bCs/>
              </w:rPr>
              <w:t xml:space="preserve">Results: </w:t>
            </w:r>
            <w:r w:rsidR="00E16D68" w:rsidRPr="00E16D68">
              <w:rPr>
                <w:sz w:val="22"/>
                <w:lang w:val="en-US" w:eastAsia="en-GB"/>
              </w:rPr>
              <w:t xml:space="preserve">Of 4,459 admissions, 2,375 (53%) were due to COVID-19. </w:t>
            </w:r>
            <w:r w:rsidR="00E16D68" w:rsidRPr="00E16D68">
              <w:rPr>
                <w:sz w:val="22"/>
                <w:lang w:val="en-US"/>
              </w:rPr>
              <w:t>Of 2,319 patients included, 25% identified as Māori, 39% Pacific, and 37% NMNP. Some 408 (18%) had pulmonary radiographic infiltrates, 599 (26%) received oxygen, and 146 (6%) died. C-statistics of severity scores were: 4C mortality, Maori 0.83 (95% CI 0.77, 0.89), Pacific 0.87 (95% CI 0.83, 0.91), NMNP 0.90 (0.87, 0.93); CURB-65 Māori 0.83 (95% CI 0.77, 0.89), Pacific 0.87 (95% CI 0.84, 0.91), NMNP 0.87 (0.83, 0.91); and modified PRIEST, Maori 0.85 (95% CI 0.80, 0.90), Pacific 0.81 (95% CI 0.76, 0.86), NMNP 0.83 (95% CI 0.79, 0.88).</w:t>
            </w:r>
          </w:p>
          <w:p w14:paraId="58397A5E" w14:textId="77777777" w:rsidR="00E16D68" w:rsidRDefault="00E16D68" w:rsidP="000A28E2">
            <w:pPr>
              <w:pStyle w:val="Pa12"/>
              <w:rPr>
                <w:rStyle w:val="A4"/>
                <w:b/>
                <w:bCs/>
              </w:rPr>
            </w:pPr>
          </w:p>
          <w:p w14:paraId="196E7BAC" w14:textId="3C23719E" w:rsidR="001564A4" w:rsidRDefault="001564A4" w:rsidP="000A28E2">
            <w:pPr>
              <w:pStyle w:val="Pa12"/>
              <w:rPr>
                <w:rStyle w:val="A4"/>
                <w:b/>
                <w:bCs/>
              </w:rPr>
            </w:pPr>
            <w:r w:rsidRPr="0050053A">
              <w:rPr>
                <w:rStyle w:val="A4"/>
                <w:b/>
                <w:bCs/>
              </w:rPr>
              <w:t xml:space="preserve">Conclusion: </w:t>
            </w:r>
            <w:r w:rsidR="00E16D68" w:rsidRPr="00E16D68">
              <w:rPr>
                <w:sz w:val="22"/>
                <w:lang w:val="en-US"/>
              </w:rPr>
              <w:t xml:space="preserve">Half of COVID-19 associated </w:t>
            </w:r>
            <w:proofErr w:type="spellStart"/>
            <w:r w:rsidR="00E16D68" w:rsidRPr="00E16D68">
              <w:rPr>
                <w:sz w:val="22"/>
                <w:lang w:val="en-US"/>
              </w:rPr>
              <w:t>hospitalisations</w:t>
            </w:r>
            <w:proofErr w:type="spellEnd"/>
            <w:r w:rsidR="00E16D68" w:rsidRPr="00E16D68">
              <w:rPr>
                <w:sz w:val="22"/>
                <w:lang w:val="en-US"/>
              </w:rPr>
              <w:t xml:space="preserve"> were attributed to COVID-19. Pneumonitis was uncommon and mortality was 6%. Severity scores accurately predict risk for Māori, Pacific and NMNP, but confidence intervals are broadest for Māori.</w:t>
            </w:r>
          </w:p>
          <w:p w14:paraId="36CAA10D" w14:textId="77777777" w:rsidR="00E16D68" w:rsidRPr="00E16D68" w:rsidRDefault="00E16D68" w:rsidP="00E16D68">
            <w:pPr>
              <w:pStyle w:val="Default"/>
            </w:pPr>
          </w:p>
          <w:p w14:paraId="3E8B4283" w14:textId="2BBBB1BE" w:rsidR="001564A4" w:rsidRPr="00E16D68" w:rsidRDefault="001564A4" w:rsidP="000A28E2">
            <w:pPr>
              <w:pStyle w:val="Pa12"/>
              <w:rPr>
                <w:rStyle w:val="A4"/>
                <w:b/>
                <w:bCs/>
              </w:rPr>
            </w:pPr>
            <w:r w:rsidRPr="0050053A">
              <w:rPr>
                <w:rStyle w:val="A4"/>
                <w:b/>
                <w:bCs/>
              </w:rPr>
              <w:t xml:space="preserve">Grant Support: </w:t>
            </w:r>
            <w:proofErr w:type="spellStart"/>
            <w:r w:rsidR="00E16D68" w:rsidRPr="00E16D68">
              <w:rPr>
                <w:rStyle w:val="A4"/>
                <w:bCs/>
              </w:rPr>
              <w:t>Manatū</w:t>
            </w:r>
            <w:proofErr w:type="spellEnd"/>
            <w:r w:rsidR="00E16D68" w:rsidRPr="00E16D68">
              <w:rPr>
                <w:rStyle w:val="A4"/>
                <w:bCs/>
              </w:rPr>
              <w:t xml:space="preserve"> Hauora | New Zealand Ministry of Health</w:t>
            </w:r>
          </w:p>
          <w:p w14:paraId="7F8381F0" w14:textId="0F16793A"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51574E"/>
    <w:rsid w:val="006F593D"/>
    <w:rsid w:val="008803FA"/>
    <w:rsid w:val="00B12E32"/>
    <w:rsid w:val="00B4178D"/>
    <w:rsid w:val="00E0700F"/>
    <w:rsid w:val="00E16D68"/>
    <w:rsid w:val="00F16C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2FCDE7FB6A240AEBC39ABE74237E6" ma:contentTypeVersion="14" ma:contentTypeDescription="Create a new document." ma:contentTypeScope="" ma:versionID="6ddd736f80368eeef3ae9999e356f217">
  <xsd:schema xmlns:xsd="http://www.w3.org/2001/XMLSchema" xmlns:xs="http://www.w3.org/2001/XMLSchema" xmlns:p="http://schemas.microsoft.com/office/2006/metadata/properties" xmlns:ns3="759ada3f-fce8-4a1e-817c-4df0f12bec81" xmlns:ns4="9c29184c-6181-4c98-9dde-0d18e432e80e" targetNamespace="http://schemas.microsoft.com/office/2006/metadata/properties" ma:root="true" ma:fieldsID="6a1b0367b84f2b319e99eea93716a03c" ns3:_="" ns4:_="">
    <xsd:import namespace="759ada3f-fce8-4a1e-817c-4df0f12bec81"/>
    <xsd:import namespace="9c29184c-6181-4c98-9dde-0d18e432e8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ada3f-fce8-4a1e-817c-4df0f12be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9184c-6181-4c98-9dde-0d18e432e8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59ada3f-fce8-4a1e-817c-4df0f12bec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D1C75-4203-4B5A-9BEE-612F56DB5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ada3f-fce8-4a1e-817c-4df0f12bec81"/>
    <ds:schemaRef ds:uri="9c29184c-6181-4c98-9dde-0d18e432e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759ada3f-fce8-4a1e-817c-4df0f12bec81"/>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Sinead Litt</cp:lastModifiedBy>
  <cp:revision>3</cp:revision>
  <dcterms:created xsi:type="dcterms:W3CDTF">2023-10-20T23:55:00Z</dcterms:created>
  <dcterms:modified xsi:type="dcterms:W3CDTF">2023-10-20T23:55:00Z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0x0101002E62FCDE7FB6A240AEBC39ABE74237E6</vt:lpwstr>
  </property>
  <property fmtid="{D5CDD505-2E9C-101B-9397-08002B2CF9AE}" pid="3" name="MediaServiceImageTags">
    <vt:lpwstr/>
  </property>
</Properties>
</file>