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047AC5CA" w:rsidR="00C8423A" w:rsidRPr="00E94EE3" w:rsidRDefault="00E94EE3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4EE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1856393" w14:textId="00A33DF4" w:rsidR="008076B8" w:rsidRPr="00E94EE3" w:rsidRDefault="008076B8" w:rsidP="00706D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EE3">
              <w:rPr>
                <w:rFonts w:ascii="Arial" w:hAnsi="Arial" w:cs="Arial"/>
                <w:b/>
                <w:bCs/>
                <w:sz w:val="22"/>
                <w:szCs w:val="22"/>
              </w:rPr>
              <w:t>Extreme weather events impact the ability of climate adaptation interventions on farmlands to support livelihoods, food production and biodiversity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EFF2629" w14:textId="64497CBB" w:rsidR="008076B8" w:rsidRPr="008076B8" w:rsidRDefault="008076B8" w:rsidP="008076B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Impacts of climate change 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agricultural systems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been widely reported</w:t>
            </w:r>
            <w:r w:rsidR="007443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(Lesk et al., 2016)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accompanied by growing calls for climate adaptation to increase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resilience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food production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accelerating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environmental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changes.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>Agriculture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including horticulture, viticulture, arable cropping and livestock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farming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>is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many instances the basis for rural </w:t>
            </w:r>
            <w:proofErr w:type="gramStart"/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>economies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>, but</w:t>
            </w:r>
            <w:proofErr w:type="gramEnd"/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also 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>the largest contributor to biodiversity loss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globally.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Successful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climate </w:t>
            </w:r>
            <w:r w:rsidR="00DF3955" w:rsidRPr="00DF395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adaptation in rural environments</w:t>
            </w:r>
            <w:r w:rsidR="00DF395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therefore requires consideration of how interventions build resilient livelihoods for people, whilst also ensuring protection and recovery of biodiversity. </w:t>
            </w:r>
            <w:r w:rsid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A87F02" w:rsidRP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lthough </w:t>
            </w:r>
            <w:r w:rsid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certain climate adaptation efforts have successfully improved outcomes for both people and nature, </w:t>
            </w:r>
            <w:r w:rsidR="00A87F02" w:rsidRP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little insight has been gained into why and how </w:t>
            </w:r>
            <w:r w:rsid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>failures</w:t>
            </w:r>
            <w:r w:rsidR="00A87F02" w:rsidRP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occur</w:t>
            </w:r>
            <w:r w:rsidR="00F40D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(Dickson et al., 2023)</w:t>
            </w:r>
            <w:r w:rsidR="00A87F02" w:rsidRPr="00A87F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hifts in the frequency</w:t>
            </w:r>
            <w:r w:rsidR="00112DAD">
              <w:rPr>
                <w:rFonts w:ascii="Arial" w:hAnsi="Arial" w:cs="Arial"/>
                <w:color w:val="000000" w:themeColor="text1"/>
                <w:sz w:val="22"/>
                <w:szCs w:val="22"/>
              </w:rPr>
              <w:t>, intensity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distribution of </w:t>
            </w:r>
            <w:r w:rsidRPr="008076B8">
              <w:rPr>
                <w:rFonts w:ascii="Arial" w:hAnsi="Arial" w:cs="Arial"/>
                <w:sz w:val="22"/>
                <w:szCs w:val="22"/>
              </w:rPr>
              <w:t>extreme weather events</w:t>
            </w:r>
            <w:r w:rsidR="00DF3955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DF3955" w:rsidRPr="008076B8">
              <w:rPr>
                <w:rFonts w:ascii="Arial" w:hAnsi="Arial" w:cs="Arial"/>
                <w:sz w:val="22"/>
                <w:szCs w:val="22"/>
              </w:rPr>
              <w:t>increasingly documented as a significant factor contributing to management failure</w:t>
            </w:r>
            <w:r w:rsidR="00DF3955">
              <w:rPr>
                <w:rFonts w:ascii="Arial" w:hAnsi="Arial" w:cs="Arial"/>
                <w:sz w:val="22"/>
                <w:szCs w:val="22"/>
              </w:rPr>
              <w:t xml:space="preserve"> in agricultural production and biodiversity management (Tulloch et al., 2020</w:t>
            </w:r>
            <w:proofErr w:type="gramStart"/>
            <w:r w:rsidR="00DF3955">
              <w:rPr>
                <w:rFonts w:ascii="Arial" w:hAnsi="Arial" w:cs="Arial"/>
                <w:sz w:val="22"/>
                <w:szCs w:val="22"/>
              </w:rPr>
              <w:t>), but</w:t>
            </w:r>
            <w:proofErr w:type="gramEnd"/>
            <w:r w:rsidRPr="00807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still routinely</w:t>
            </w:r>
            <w:r w:rsidRPr="008076B8">
              <w:rPr>
                <w:rFonts w:ascii="Arial" w:hAnsi="Arial" w:cs="Arial"/>
                <w:sz w:val="22"/>
                <w:szCs w:val="22"/>
              </w:rPr>
              <w:t xml:space="preserve"> ignored in many </w:t>
            </w:r>
            <w:r w:rsidR="007443BD">
              <w:rPr>
                <w:rFonts w:ascii="Arial" w:hAnsi="Arial" w:cs="Arial"/>
                <w:sz w:val="22"/>
                <w:szCs w:val="22"/>
              </w:rPr>
              <w:t>land management plans</w:t>
            </w:r>
            <w:r w:rsidRPr="008076B8">
              <w:rPr>
                <w:rFonts w:ascii="Arial" w:hAnsi="Arial" w:cs="Arial"/>
                <w:sz w:val="22"/>
                <w:szCs w:val="22"/>
              </w:rPr>
              <w:t xml:space="preserve">. It is imperative to address extreme weather impacts to select effective </w:t>
            </w:r>
            <w:r>
              <w:rPr>
                <w:rFonts w:ascii="Arial" w:hAnsi="Arial" w:cs="Arial"/>
                <w:sz w:val="22"/>
                <w:szCs w:val="22"/>
              </w:rPr>
              <w:t>land management</w:t>
            </w:r>
            <w:r w:rsidRPr="00807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765">
              <w:rPr>
                <w:rFonts w:ascii="Arial" w:hAnsi="Arial" w:cs="Arial"/>
                <w:sz w:val="22"/>
                <w:szCs w:val="22"/>
              </w:rPr>
              <w:t>and adaptation practices</w:t>
            </w:r>
            <w:r w:rsidRPr="008076B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204ADF08" w14:textId="4C12CE76" w:rsidR="00112DAD" w:rsidRPr="008076B8" w:rsidRDefault="008076B8" w:rsidP="00112DA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Our goal was to review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scientific and grey literature on the </w:t>
            </w:r>
            <w:r w:rsidR="00112DAD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effects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</w:t>
            </w:r>
            <w:r w:rsidR="00112D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extreme weather events on the success of biodiversity-focused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climate adaptation actions </w:t>
            </w:r>
            <w:r w:rsidR="00112DAD">
              <w:rPr>
                <w:rFonts w:ascii="Arial" w:hAnsi="Arial" w:cs="Arial"/>
                <w:color w:val="000000" w:themeColor="text1"/>
                <w:sz w:val="22"/>
                <w:szCs w:val="22"/>
              </w:rPr>
              <w:t>in agri-food production landscapes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E6D0829" w14:textId="77777777" w:rsidR="008076B8" w:rsidRDefault="008076B8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7123FA53" w14:textId="28B58673" w:rsidR="001739C5" w:rsidRPr="008076B8" w:rsidRDefault="001739C5" w:rsidP="001739C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76B8">
              <w:rPr>
                <w:rFonts w:ascii="Arial" w:hAnsi="Arial" w:cs="Arial"/>
                <w:sz w:val="22"/>
                <w:szCs w:val="22"/>
              </w:rPr>
              <w:t xml:space="preserve">We </w:t>
            </w:r>
            <w:r>
              <w:rPr>
                <w:rFonts w:ascii="Arial" w:hAnsi="Arial" w:cs="Arial"/>
                <w:sz w:val="22"/>
                <w:szCs w:val="22"/>
              </w:rPr>
              <w:t xml:space="preserve">first conducted a global </w:t>
            </w:r>
            <w:r w:rsidRPr="00112DAD">
              <w:rPr>
                <w:rFonts w:ascii="Arial" w:hAnsi="Arial" w:cs="Arial"/>
                <w:sz w:val="22"/>
                <w:szCs w:val="22"/>
              </w:rPr>
              <w:t>systematic 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 of peer-reviewed literature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to build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understanding of the extent to which</w:t>
            </w:r>
            <w:r>
              <w:rPr>
                <w:rFonts w:ascii="Arial" w:hAnsi="Arial" w:cs="Arial"/>
                <w:sz w:val="22"/>
                <w:szCs w:val="22"/>
              </w:rPr>
              <w:t xml:space="preserve"> extreme events impact the ability of nature-based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climate adaptation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actions on farms to simultaneously </w:t>
            </w:r>
            <w:r w:rsidRPr="00112DAD">
              <w:rPr>
                <w:rFonts w:ascii="Arial" w:hAnsi="Arial" w:cs="Arial"/>
                <w:sz w:val="22"/>
                <w:szCs w:val="22"/>
              </w:rPr>
              <w:t>increase and sustain farmer livelihoods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F1522">
              <w:rPr>
                <w:rFonts w:ascii="Arial" w:hAnsi="Arial" w:cs="Arial"/>
                <w:sz w:val="22"/>
                <w:szCs w:val="22"/>
              </w:rPr>
              <w:t>agro</w:t>
            </w:r>
            <w:proofErr w:type="spellEnd"/>
            <w:r w:rsidR="006F1522">
              <w:rPr>
                <w:rFonts w:ascii="Arial" w:hAnsi="Arial" w:cs="Arial"/>
                <w:sz w:val="22"/>
                <w:szCs w:val="22"/>
              </w:rPr>
              <w:t>-ecosystem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522">
              <w:rPr>
                <w:rFonts w:ascii="Arial" w:hAnsi="Arial" w:cs="Arial"/>
                <w:sz w:val="22"/>
                <w:szCs w:val="22"/>
              </w:rPr>
              <w:t>productivity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biodiversity. </w:t>
            </w:r>
            <w:r w:rsidR="00AB2765">
              <w:rPr>
                <w:rFonts w:ascii="Arial" w:hAnsi="Arial" w:cs="Arial"/>
                <w:sz w:val="22"/>
                <w:szCs w:val="22"/>
              </w:rPr>
              <w:t>Because biodiversity was not routinely reported in these interventions, we</w:t>
            </w:r>
            <w:r>
              <w:rPr>
                <w:rFonts w:ascii="Arial" w:hAnsi="Arial" w:cs="Arial"/>
                <w:sz w:val="22"/>
                <w:szCs w:val="22"/>
              </w:rPr>
              <w:t xml:space="preserve"> compiled a comprehensive list of 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climate adaptation interventions </w:t>
            </w:r>
            <w:r>
              <w:rPr>
                <w:rFonts w:ascii="Arial" w:hAnsi="Arial" w:cs="Arial"/>
                <w:sz w:val="22"/>
                <w:szCs w:val="22"/>
              </w:rPr>
              <w:t>specifically targeting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765">
              <w:rPr>
                <w:rFonts w:ascii="Arial" w:hAnsi="Arial" w:cs="Arial"/>
                <w:sz w:val="22"/>
                <w:szCs w:val="22"/>
              </w:rPr>
              <w:t>native</w:t>
            </w:r>
            <w:r w:rsidRPr="00112DAD">
              <w:rPr>
                <w:rFonts w:ascii="Arial" w:hAnsi="Arial" w:cs="Arial"/>
                <w:sz w:val="22"/>
                <w:szCs w:val="22"/>
              </w:rPr>
              <w:t xml:space="preserve"> species </w:t>
            </w:r>
            <w:r>
              <w:rPr>
                <w:rFonts w:ascii="Arial" w:hAnsi="Arial" w:cs="Arial"/>
                <w:sz w:val="22"/>
                <w:szCs w:val="22"/>
              </w:rPr>
              <w:t xml:space="preserve">recovery in Australia, and conducted a </w:t>
            </w:r>
            <w:r w:rsidR="00AB2765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>
              <w:rPr>
                <w:rFonts w:ascii="Arial" w:hAnsi="Arial" w:cs="Arial"/>
                <w:sz w:val="22"/>
                <w:szCs w:val="22"/>
              </w:rPr>
              <w:t xml:space="preserve">review of </w:t>
            </w:r>
            <w:r w:rsidR="00AB276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peer-reviewed literature and grey literature (recovery plans, government reports) to </w:t>
            </w:r>
            <w:r w:rsidR="00AB2765">
              <w:rPr>
                <w:rFonts w:ascii="Arial" w:hAnsi="Arial" w:cs="Arial"/>
                <w:sz w:val="22"/>
                <w:szCs w:val="22"/>
              </w:rPr>
              <w:t>discover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765">
              <w:rPr>
                <w:rFonts w:ascii="Arial" w:hAnsi="Arial" w:cs="Arial"/>
                <w:sz w:val="22"/>
                <w:szCs w:val="22"/>
              </w:rPr>
              <w:t>when</w:t>
            </w:r>
            <w:r>
              <w:rPr>
                <w:rFonts w:ascii="Arial" w:hAnsi="Arial" w:cs="Arial"/>
                <w:sz w:val="22"/>
                <w:szCs w:val="22"/>
              </w:rPr>
              <w:t xml:space="preserve"> extreme weather events </w:t>
            </w:r>
            <w:r w:rsidR="00AB2765">
              <w:rPr>
                <w:rFonts w:ascii="Arial" w:hAnsi="Arial" w:cs="Arial"/>
                <w:sz w:val="22"/>
                <w:szCs w:val="22"/>
              </w:rPr>
              <w:t xml:space="preserve">affect </w:t>
            </w:r>
            <w:r>
              <w:rPr>
                <w:rFonts w:ascii="Arial" w:hAnsi="Arial" w:cs="Arial"/>
                <w:sz w:val="22"/>
                <w:szCs w:val="22"/>
              </w:rPr>
              <w:t>climate adaptation success</w:t>
            </w:r>
            <w:r w:rsidR="00AB2765">
              <w:rPr>
                <w:rFonts w:ascii="Arial" w:hAnsi="Arial" w:cs="Arial"/>
                <w:sz w:val="22"/>
                <w:szCs w:val="22"/>
              </w:rPr>
              <w:t xml:space="preserve"> for threatened species</w:t>
            </w:r>
            <w:r>
              <w:rPr>
                <w:rFonts w:ascii="Arial" w:hAnsi="Arial" w:cs="Arial"/>
                <w:sz w:val="22"/>
                <w:szCs w:val="22"/>
              </w:rPr>
              <w:t>, and the reasons for management failure when extreme weather events occur.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15EBF29D" w14:textId="0DBF76D0" w:rsidR="001739C5" w:rsidRDefault="001739C5" w:rsidP="001739C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Our global review of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&gt;80</w:t>
            </w:r>
            <w:r w:rsidR="00C054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biodiversity-focused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climate adaptation </w:t>
            </w:r>
            <w:r w:rsidR="00C0548B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interventions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 farms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revealed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simultaneous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positive outcomes for people’s livelihoods and food production following interventions such as introducing native or non-native trees and shrubs into or around cropping or grazing fields. However, </w:t>
            </w:r>
            <w:r w:rsidR="00C0548B">
              <w:rPr>
                <w:rFonts w:ascii="Arial" w:hAnsi="Arial" w:cs="Arial"/>
                <w:color w:val="000000" w:themeColor="text1"/>
                <w:sz w:val="22"/>
                <w:szCs w:val="22"/>
              </w:rPr>
              <w:t>30% of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548B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interventions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>failed to achieve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win-win outcomes for both people and the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due to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extreme weather events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such as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droughts, floods, heatwaves, and winds. </w:t>
            </w:r>
            <w:r w:rsidR="006F1522" w:rsidRP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>Crop yield reduction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</w:t>
            </w:r>
            <w:r w:rsidR="006F1522" w:rsidRP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>s the most frequently reported impac</w:t>
            </w:r>
            <w:r w:rsidR="006F15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t, followed by water insecurity, increased pests and diseases, and reduced food security. 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>Similarly, f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rom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&gt;200 climate adaptation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B2765"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projects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native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flora and fauna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on farms across</w:t>
            </w:r>
            <w:r w:rsidR="008C0E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Australia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we discovered that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more than half 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(pa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rticularly those involving conservation introductions outside and within historic ranges, and habitat manipulation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were unprepared for extreme weather events, which often resulted in negative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biodiversity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outcomes such as species mortality and reduced recruitment</w:t>
            </w:r>
            <w:r w:rsidR="00AB2765">
              <w:rPr>
                <w:rFonts w:ascii="Arial" w:hAnsi="Arial" w:cs="Arial"/>
                <w:color w:val="000000" w:themeColor="text1"/>
                <w:sz w:val="22"/>
                <w:szCs w:val="22"/>
              </w:rPr>
              <w:t>, and wasted funding by government agencies and non-government organisations on ineffective actions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7077A7BF" w:rsidR="00BE58D6" w:rsidRDefault="008C0EC1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Our work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highlights the importance of effectively using both climate data and extreme weather forecasting throughout the project cycle </w:t>
            </w:r>
            <w:r w:rsidR="002613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ensure that 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>climate adaptation initiatives</w:t>
            </w:r>
            <w:r w:rsidR="002613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result in positive outcomes for both people and nature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By incorporating these findings into planning and implementation processes, policy makers and practitioners can enhance the effectiveness and sustainability of climate adaptation efforts, ultimately fostering greater resilience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biodiversity</w:t>
            </w:r>
            <w:r w:rsidRPr="008076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management in agricultural landscapes worldwide.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576BE" w14:textId="7AC25724" w:rsidR="00DF3955" w:rsidRDefault="00DF3955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14:paraId="7E8448C4" w14:textId="53853137" w:rsidR="00F40D3A" w:rsidRDefault="00F40D3A" w:rsidP="00AB2765">
            <w:pPr>
              <w:ind w:left="201" w:hanging="2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0D3A">
              <w:rPr>
                <w:rFonts w:ascii="Arial" w:hAnsi="Arial" w:cs="Arial"/>
                <w:bCs/>
                <w:sz w:val="22"/>
                <w:szCs w:val="22"/>
              </w:rPr>
              <w:t>Dickson, I., Butchart, S. H. M., Catalano, A., Gibbons, D., Jones, J. P. G., Lee</w:t>
            </w:r>
            <w:r w:rsidRPr="00F40D3A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Pr="00F40D3A">
              <w:rPr>
                <w:rFonts w:ascii="Arial" w:hAnsi="Arial" w:cs="Arial"/>
                <w:bCs/>
                <w:sz w:val="22"/>
                <w:szCs w:val="22"/>
              </w:rPr>
              <w:t>Brooks, K., Oldfield, T., Noble, D., Paterson, S., Roy, S., Semelin, J., Tinsley</w:t>
            </w:r>
            <w:r w:rsidRPr="00F40D3A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Pr="00F40D3A">
              <w:rPr>
                <w:rFonts w:ascii="Arial" w:hAnsi="Arial" w:cs="Arial"/>
                <w:bCs/>
                <w:sz w:val="22"/>
                <w:szCs w:val="22"/>
              </w:rPr>
              <w:t xml:space="preserve">Marshall, P., Trevelyan, R., Wauchope, H., </w:t>
            </w:r>
            <w:proofErr w:type="spellStart"/>
            <w:r w:rsidRPr="00F40D3A">
              <w:rPr>
                <w:rFonts w:ascii="Arial" w:hAnsi="Arial" w:cs="Arial"/>
                <w:bCs/>
                <w:sz w:val="22"/>
                <w:szCs w:val="22"/>
              </w:rPr>
              <w:t>Wicander</w:t>
            </w:r>
            <w:proofErr w:type="spellEnd"/>
            <w:r w:rsidRPr="00F40D3A">
              <w:rPr>
                <w:rFonts w:ascii="Arial" w:hAnsi="Arial" w:cs="Arial"/>
                <w:bCs/>
                <w:sz w:val="22"/>
                <w:szCs w:val="22"/>
              </w:rPr>
              <w:t xml:space="preserve">, S., &amp; Sutherland, W. J. (2023). Introducing a common taxonomy to support learning from failure in conservation. Conservation Biology, 37(1), e13967-n/a. </w:t>
            </w:r>
            <w:hyperlink r:id="rId8" w:history="1">
              <w:r w:rsidRPr="00D87A8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https://doi.org/10.1111/cobi.13967</w:t>
              </w:r>
            </w:hyperlink>
          </w:p>
          <w:p w14:paraId="6C90F0F1" w14:textId="31720706" w:rsidR="007443BD" w:rsidRDefault="007443BD" w:rsidP="00AB2765">
            <w:pPr>
              <w:ind w:left="201" w:hanging="2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43BD">
              <w:rPr>
                <w:rFonts w:ascii="Arial" w:hAnsi="Arial" w:cs="Arial"/>
                <w:bCs/>
                <w:sz w:val="22"/>
                <w:szCs w:val="22"/>
              </w:rPr>
              <w:t xml:space="preserve">Lesk, C., Rowhani, P., &amp; </w:t>
            </w:r>
            <w:proofErr w:type="spellStart"/>
            <w:r w:rsidRPr="007443BD">
              <w:rPr>
                <w:rFonts w:ascii="Arial" w:hAnsi="Arial" w:cs="Arial"/>
                <w:bCs/>
                <w:sz w:val="22"/>
                <w:szCs w:val="22"/>
              </w:rPr>
              <w:t>Ramankutty</w:t>
            </w:r>
            <w:proofErr w:type="spellEnd"/>
            <w:r w:rsidRPr="007443BD">
              <w:rPr>
                <w:rFonts w:ascii="Arial" w:hAnsi="Arial" w:cs="Arial"/>
                <w:bCs/>
                <w:sz w:val="22"/>
                <w:szCs w:val="22"/>
              </w:rPr>
              <w:t>, N. (2016). Influence of extreme weather disasters on global crop production. Nature, 529(7584), 84-87.</w:t>
            </w:r>
          </w:p>
          <w:p w14:paraId="39AA1BB4" w14:textId="5083D50B" w:rsidR="00BE58D6" w:rsidRPr="00DF3955" w:rsidRDefault="00DF3955" w:rsidP="00AB2765">
            <w:pPr>
              <w:ind w:left="201" w:hanging="20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F3955">
              <w:rPr>
                <w:rFonts w:ascii="Arial" w:hAnsi="Arial" w:cs="Arial"/>
                <w:bCs/>
                <w:sz w:val="22"/>
                <w:szCs w:val="22"/>
              </w:rPr>
              <w:t>Tulloch, A. I. T., Hagger, V., &amp; Greenville, A. C. (2020). Ecological forecasts to inform near</w:t>
            </w:r>
            <w:r w:rsidRPr="00DF3955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Pr="00DF3955">
              <w:rPr>
                <w:rFonts w:ascii="Arial" w:hAnsi="Arial" w:cs="Arial"/>
                <w:bCs/>
                <w:sz w:val="22"/>
                <w:szCs w:val="22"/>
              </w:rPr>
              <w:t>term management of threats to biodiversity. Global Change Biology, 26(10), 5816–5828. https://doi.org/10.1111/gcb.15272</w:t>
            </w: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5F68"/>
    <w:rsid w:val="000454E9"/>
    <w:rsid w:val="00105E39"/>
    <w:rsid w:val="00112DAD"/>
    <w:rsid w:val="00132AE5"/>
    <w:rsid w:val="00155315"/>
    <w:rsid w:val="001739C5"/>
    <w:rsid w:val="002201B7"/>
    <w:rsid w:val="00247C60"/>
    <w:rsid w:val="00256963"/>
    <w:rsid w:val="00261397"/>
    <w:rsid w:val="002E3AA3"/>
    <w:rsid w:val="00317356"/>
    <w:rsid w:val="0034503D"/>
    <w:rsid w:val="00345E7F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6F1522"/>
    <w:rsid w:val="007443BD"/>
    <w:rsid w:val="008076B8"/>
    <w:rsid w:val="008235E8"/>
    <w:rsid w:val="008773DF"/>
    <w:rsid w:val="008B01BA"/>
    <w:rsid w:val="008B50A0"/>
    <w:rsid w:val="008C0C35"/>
    <w:rsid w:val="008C0EC1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522D9"/>
    <w:rsid w:val="00A87F02"/>
    <w:rsid w:val="00AB2765"/>
    <w:rsid w:val="00B026E8"/>
    <w:rsid w:val="00BA0872"/>
    <w:rsid w:val="00BA26BB"/>
    <w:rsid w:val="00BC6810"/>
    <w:rsid w:val="00BE0B4D"/>
    <w:rsid w:val="00BE58D6"/>
    <w:rsid w:val="00C0548B"/>
    <w:rsid w:val="00C26081"/>
    <w:rsid w:val="00C4126D"/>
    <w:rsid w:val="00C76C99"/>
    <w:rsid w:val="00C8423A"/>
    <w:rsid w:val="00CE53FE"/>
    <w:rsid w:val="00D716AD"/>
    <w:rsid w:val="00DB7929"/>
    <w:rsid w:val="00DD1BB3"/>
    <w:rsid w:val="00DF3955"/>
    <w:rsid w:val="00E612FF"/>
    <w:rsid w:val="00E94EE3"/>
    <w:rsid w:val="00EB1B31"/>
    <w:rsid w:val="00F40D3A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cobi.139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C47B0-ADD2-4294-9D71-D021A5BD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6911e96c-4cc4-42d5-8e43-f93924cf6a05"/>
    <ds:schemaRef ds:uri="cab52c9b-ab33-4221-8af9-54f8f2b86a8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2025-02-10T02:43:00Z</dcterms:created>
  <dcterms:modified xsi:type="dcterms:W3CDTF">2025-08-14T00:51:00Z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