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F2C0" w14:textId="77777777" w:rsidR="00374E4D" w:rsidRDefault="00374E4D" w:rsidP="006F75F8">
      <w:pPr>
        <w:rPr>
          <w:b/>
          <w:bCs/>
        </w:rPr>
      </w:pPr>
    </w:p>
    <w:p w14:paraId="7A4B121C" w14:textId="77777777" w:rsidR="00374E4D" w:rsidRDefault="00374E4D" w:rsidP="006F75F8">
      <w:pPr>
        <w:rPr>
          <w:b/>
          <w:bCs/>
        </w:rPr>
      </w:pPr>
    </w:p>
    <w:p w14:paraId="6FAA62BD" w14:textId="672E67A5" w:rsidR="006F75F8" w:rsidRPr="00374E4D" w:rsidRDefault="006F75F8" w:rsidP="00374E4D">
      <w:pPr>
        <w:spacing w:line="240" w:lineRule="auto"/>
        <w:rPr>
          <w:rFonts w:ascii="Arial" w:hAnsi="Arial" w:cs="Arial"/>
          <w:b/>
          <w:bCs/>
        </w:rPr>
      </w:pPr>
      <w:r w:rsidRPr="00374E4D">
        <w:rPr>
          <w:rFonts w:ascii="Arial" w:hAnsi="Arial" w:cs="Arial"/>
          <w:b/>
          <w:bCs/>
        </w:rPr>
        <w:t xml:space="preserve">Title of Research Project: Is wearing a continuous glucose monitor enough to trigger lifestyle change in Type 2 Diabetes?     </w:t>
      </w:r>
    </w:p>
    <w:p w14:paraId="769AE464" w14:textId="77777777" w:rsidR="006F75F8" w:rsidRPr="00374E4D" w:rsidRDefault="006F75F8" w:rsidP="00374E4D">
      <w:pPr>
        <w:spacing w:line="240" w:lineRule="auto"/>
        <w:rPr>
          <w:rFonts w:ascii="Arial" w:hAnsi="Arial" w:cs="Arial"/>
        </w:rPr>
      </w:pPr>
    </w:p>
    <w:p w14:paraId="2F38DAB9" w14:textId="3CE8CA24" w:rsidR="006F75F8" w:rsidRPr="00374E4D" w:rsidRDefault="00C56B6D" w:rsidP="00374E4D">
      <w:pPr>
        <w:spacing w:line="240" w:lineRule="auto"/>
        <w:rPr>
          <w:rFonts w:ascii="Arial" w:hAnsi="Arial" w:cs="Arial"/>
        </w:rPr>
      </w:pPr>
      <w:r w:rsidRPr="00374E4D">
        <w:rPr>
          <w:rFonts w:ascii="Arial" w:hAnsi="Arial" w:cs="Arial"/>
          <w:b/>
          <w:bCs/>
        </w:rPr>
        <w:t>Background</w:t>
      </w:r>
      <w:r w:rsidR="00A96948" w:rsidRPr="00374E4D">
        <w:rPr>
          <w:rFonts w:ascii="Arial" w:hAnsi="Arial" w:cs="Arial"/>
          <w:b/>
          <w:bCs/>
        </w:rPr>
        <w:t xml:space="preserve"> &amp; aim</w:t>
      </w:r>
      <w:r w:rsidRPr="00374E4D">
        <w:rPr>
          <w:rFonts w:ascii="Arial" w:hAnsi="Arial" w:cs="Arial"/>
        </w:rPr>
        <w:t xml:space="preserve">: </w:t>
      </w:r>
      <w:r w:rsidR="006F75F8" w:rsidRPr="00374E4D">
        <w:rPr>
          <w:rFonts w:ascii="Arial" w:hAnsi="Arial" w:cs="Arial"/>
        </w:rPr>
        <w:t xml:space="preserve">Dietary and exercise lifestyle behaviours are critical to glucose management. Continuous Glucose Monitors (CGM) measure glucose levels continuously through interstitial fluid over a 10–15-day period.  Time in range (TIR) is a CGM metric, which represents the percentage of time of the glucose levels in the desired range. Lower TIR is associated with an increased risk of complications, as well as all-cause mortality. CGMs provide real-time feedback of glucose trends, which is predicted to stimulate behaviour change. </w:t>
      </w:r>
      <w:r w:rsidR="008E477A" w:rsidRPr="00374E4D">
        <w:rPr>
          <w:rFonts w:ascii="Arial" w:hAnsi="Arial" w:cs="Arial"/>
        </w:rPr>
        <w:t>This exploratory study examined whether CGM exposure alone, prior to formal education, was associated with self-reported lifestyle change and di</w:t>
      </w:r>
      <w:r w:rsidR="00323FD9" w:rsidRPr="00374E4D">
        <w:rPr>
          <w:rFonts w:ascii="Arial" w:hAnsi="Arial" w:cs="Arial"/>
        </w:rPr>
        <w:t xml:space="preserve">fferences in </w:t>
      </w:r>
      <w:r w:rsidR="008E477A" w:rsidRPr="00374E4D">
        <w:rPr>
          <w:rFonts w:ascii="Arial" w:hAnsi="Arial" w:cs="Arial"/>
        </w:rPr>
        <w:t>TIR.</w:t>
      </w:r>
    </w:p>
    <w:p w14:paraId="2E47D0A8" w14:textId="71A1E49C" w:rsidR="006F75F8" w:rsidRPr="00374E4D" w:rsidRDefault="00C56B6D" w:rsidP="00374E4D">
      <w:pPr>
        <w:spacing w:line="240" w:lineRule="auto"/>
        <w:rPr>
          <w:rFonts w:ascii="Arial" w:hAnsi="Arial" w:cs="Arial"/>
        </w:rPr>
      </w:pPr>
      <w:r w:rsidRPr="00374E4D">
        <w:rPr>
          <w:rFonts w:ascii="Arial" w:hAnsi="Arial" w:cs="Arial"/>
          <w:b/>
          <w:bCs/>
        </w:rPr>
        <w:t>Methods</w:t>
      </w:r>
      <w:r w:rsidRPr="00374E4D">
        <w:rPr>
          <w:rFonts w:ascii="Arial" w:hAnsi="Arial" w:cs="Arial"/>
        </w:rPr>
        <w:t xml:space="preserve">: </w:t>
      </w:r>
      <w:r w:rsidR="00EB1398" w:rsidRPr="00374E4D">
        <w:rPr>
          <w:rFonts w:ascii="Arial" w:hAnsi="Arial" w:cs="Arial"/>
        </w:rPr>
        <w:t>73</w:t>
      </w:r>
      <w:r w:rsidR="006F75F8" w:rsidRPr="00374E4D">
        <w:rPr>
          <w:rFonts w:ascii="Arial" w:hAnsi="Arial" w:cs="Arial"/>
        </w:rPr>
        <w:t xml:space="preserve"> patients with complex type 2 diabetes referred to Western Sydney Diabetes (WSD) wore a CGM as part of standard care</w:t>
      </w:r>
      <w:r w:rsidR="001A15DF" w:rsidRPr="00374E4D">
        <w:rPr>
          <w:rFonts w:ascii="Arial" w:hAnsi="Arial" w:cs="Arial"/>
        </w:rPr>
        <w:t>. Parti</w:t>
      </w:r>
      <w:r w:rsidR="00E562F3" w:rsidRPr="00374E4D">
        <w:rPr>
          <w:rFonts w:ascii="Arial" w:hAnsi="Arial" w:cs="Arial"/>
        </w:rPr>
        <w:t>cipants</w:t>
      </w:r>
      <w:r w:rsidR="006F75F8" w:rsidRPr="00374E4D">
        <w:rPr>
          <w:rFonts w:ascii="Arial" w:hAnsi="Arial" w:cs="Arial"/>
        </w:rPr>
        <w:t xml:space="preserve"> completed both qualitative and quantitative surveys about lifestyle behaviours following CGM use, prior to the WSD case conference. Participants were group</w:t>
      </w:r>
      <w:r w:rsidR="0082667B" w:rsidRPr="00374E4D">
        <w:rPr>
          <w:rFonts w:ascii="Arial" w:hAnsi="Arial" w:cs="Arial"/>
        </w:rPr>
        <w:t>ed</w:t>
      </w:r>
      <w:r w:rsidR="006F75F8" w:rsidRPr="00374E4D">
        <w:rPr>
          <w:rFonts w:ascii="Arial" w:hAnsi="Arial" w:cs="Arial"/>
        </w:rPr>
        <w:t xml:space="preserve"> according to their self-reported survey lifestyle changes. TIR was then compared across groups, and survey responses analysed.  </w:t>
      </w:r>
    </w:p>
    <w:p w14:paraId="275C001E" w14:textId="0C43C6ED" w:rsidR="006F75F8" w:rsidRPr="00374E4D" w:rsidRDefault="00C56B6D" w:rsidP="00374E4D">
      <w:pPr>
        <w:spacing w:line="240" w:lineRule="auto"/>
        <w:rPr>
          <w:rFonts w:ascii="Arial" w:hAnsi="Arial" w:cs="Arial"/>
        </w:rPr>
      </w:pPr>
      <w:r w:rsidRPr="00374E4D">
        <w:rPr>
          <w:rFonts w:ascii="Arial" w:hAnsi="Arial" w:cs="Arial"/>
          <w:b/>
          <w:bCs/>
        </w:rPr>
        <w:t>Results</w:t>
      </w:r>
      <w:r w:rsidRPr="00374E4D">
        <w:rPr>
          <w:rFonts w:ascii="Arial" w:hAnsi="Arial" w:cs="Arial"/>
        </w:rPr>
        <w:t xml:space="preserve">: </w:t>
      </w:r>
      <w:r w:rsidR="00114BBF" w:rsidRPr="00374E4D">
        <w:rPr>
          <w:rFonts w:ascii="Arial" w:hAnsi="Arial" w:cs="Arial"/>
        </w:rPr>
        <w:t xml:space="preserve">Most participants (70.8%, n=51/72) reported making lifestyle changes while wearing CGM. </w:t>
      </w:r>
      <w:r w:rsidR="00AF5D29" w:rsidRPr="00374E4D">
        <w:rPr>
          <w:rFonts w:ascii="Arial" w:hAnsi="Arial" w:cs="Arial"/>
        </w:rPr>
        <w:t>Noticing food-related glucose effects was reported by 71.2% (n=52/73)</w:t>
      </w:r>
      <w:r w:rsidR="006F75F8" w:rsidRPr="00374E4D">
        <w:rPr>
          <w:rFonts w:ascii="Arial" w:hAnsi="Arial" w:cs="Arial"/>
        </w:rPr>
        <w:t>; these patients demonstrated a 10.2% greater TIR compared with those who reported not noticing food-related effects. Additionally, 32.9% of patients (n = 24/73) reported discontinuing consumption of specific foods due to their impact on glucose levels and had a 13% greater TIR than those who did not. Grains were the most identified food group both noticed (34%) and avoided (34%). Most patients (88.7%, n = 63/71) reported no changes in physical activity while wearing the CGM.</w:t>
      </w:r>
    </w:p>
    <w:p w14:paraId="7937A866" w14:textId="0E0CF36D" w:rsidR="000A67CE" w:rsidRPr="00374E4D" w:rsidRDefault="00C56B6D" w:rsidP="00374E4D">
      <w:pPr>
        <w:spacing w:line="240" w:lineRule="auto"/>
        <w:rPr>
          <w:rFonts w:ascii="Arial" w:hAnsi="Arial" w:cs="Arial"/>
        </w:rPr>
      </w:pPr>
      <w:r w:rsidRPr="00374E4D">
        <w:rPr>
          <w:rFonts w:ascii="Arial" w:hAnsi="Arial" w:cs="Arial"/>
          <w:b/>
          <w:bCs/>
        </w:rPr>
        <w:t>Conclusion</w:t>
      </w:r>
      <w:r w:rsidRPr="00374E4D">
        <w:rPr>
          <w:rFonts w:ascii="Arial" w:hAnsi="Arial" w:cs="Arial"/>
        </w:rPr>
        <w:t xml:space="preserve">: </w:t>
      </w:r>
      <w:r w:rsidR="006F75F8" w:rsidRPr="00374E4D">
        <w:rPr>
          <w:rFonts w:ascii="Arial" w:hAnsi="Arial" w:cs="Arial"/>
        </w:rPr>
        <w:t>CGMs are transforming diabetes management by providing real-time feedback on the effects of diet, and exercise on glucose level. This feedback was associated with</w:t>
      </w:r>
      <w:r w:rsidR="00A17AE4" w:rsidRPr="00374E4D">
        <w:rPr>
          <w:rFonts w:ascii="Arial" w:hAnsi="Arial" w:cs="Arial"/>
        </w:rPr>
        <w:t xml:space="preserve"> independent</w:t>
      </w:r>
      <w:r w:rsidR="006F75F8" w:rsidRPr="00374E4D">
        <w:rPr>
          <w:rFonts w:ascii="Arial" w:hAnsi="Arial" w:cs="Arial"/>
        </w:rPr>
        <w:t xml:space="preserve"> self-reported dietary behaviour change, </w:t>
      </w:r>
      <w:r w:rsidR="00382687" w:rsidRPr="00374E4D">
        <w:rPr>
          <w:rFonts w:ascii="Arial" w:hAnsi="Arial" w:cs="Arial"/>
        </w:rPr>
        <w:t>represent</w:t>
      </w:r>
      <w:r w:rsidR="00E46D1B" w:rsidRPr="00374E4D">
        <w:rPr>
          <w:rFonts w:ascii="Arial" w:hAnsi="Arial" w:cs="Arial"/>
        </w:rPr>
        <w:t>ing</w:t>
      </w:r>
      <w:r w:rsidR="00382687" w:rsidRPr="00374E4D">
        <w:rPr>
          <w:rFonts w:ascii="Arial" w:hAnsi="Arial" w:cs="Arial"/>
        </w:rPr>
        <w:t xml:space="preserve"> a useful behavioural catalyst within complex diabetes care.</w:t>
      </w:r>
    </w:p>
    <w:sectPr w:rsidR="000A67CE" w:rsidRPr="00374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F8"/>
    <w:rsid w:val="00086652"/>
    <w:rsid w:val="000A67CE"/>
    <w:rsid w:val="000F757A"/>
    <w:rsid w:val="00114BBF"/>
    <w:rsid w:val="001A15DF"/>
    <w:rsid w:val="00323FD9"/>
    <w:rsid w:val="00374E4D"/>
    <w:rsid w:val="00382687"/>
    <w:rsid w:val="003C52A1"/>
    <w:rsid w:val="004C0691"/>
    <w:rsid w:val="004D6C87"/>
    <w:rsid w:val="00605622"/>
    <w:rsid w:val="00697412"/>
    <w:rsid w:val="006F75F8"/>
    <w:rsid w:val="00802810"/>
    <w:rsid w:val="0082667B"/>
    <w:rsid w:val="008E477A"/>
    <w:rsid w:val="00940A8F"/>
    <w:rsid w:val="009807B0"/>
    <w:rsid w:val="009B0D06"/>
    <w:rsid w:val="009D7C87"/>
    <w:rsid w:val="00A17AE4"/>
    <w:rsid w:val="00A96948"/>
    <w:rsid w:val="00AF5D29"/>
    <w:rsid w:val="00BB0779"/>
    <w:rsid w:val="00C56B6D"/>
    <w:rsid w:val="00D044E7"/>
    <w:rsid w:val="00D21B95"/>
    <w:rsid w:val="00E46D1B"/>
    <w:rsid w:val="00E562F3"/>
    <w:rsid w:val="00EB1398"/>
    <w:rsid w:val="00F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981A"/>
  <w15:chartTrackingRefBased/>
  <w15:docId w15:val="{43771E1A-7129-4B96-91A5-F1E3A8F4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D862B-5FB0-464B-9E52-4951318B4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E5680-6A41-4650-B4E5-593BCEEAD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8ECA4-CB13-4464-B225-6E39DBE6492B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1903</Characters>
  <Application>Microsoft Office Word</Application>
  <DocSecurity>0</DocSecurity>
  <Lines>40</Lines>
  <Paragraphs>25</Paragraphs>
  <ScaleCrop>false</ScaleCrop>
  <Company>WSLHD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Silvestro (Western Sydney LHD)</dc:creator>
  <cp:keywords/>
  <dc:description/>
  <cp:lastModifiedBy>Tanya Yandall</cp:lastModifiedBy>
  <cp:revision>3</cp:revision>
  <dcterms:created xsi:type="dcterms:W3CDTF">2026-02-18T20:00:00Z</dcterms:created>
  <dcterms:modified xsi:type="dcterms:W3CDTF">2026-02-18T20:00:00Z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2026-02-04T05:23:46Z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4fc60ff8-57a1-4041-b079-41b8975d3d90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0x01010004DB0B76CE105D459F58063C0D0B3831</vt:lpwstr>
  </property>
  <property fmtid="{D5CDD505-2E9C-101B-9397-08002B2CF9AE}" pid="11" name="MediaServiceImageTags">
    <vt:lpwstr/>
  </property>
</Properties>
</file>