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8640" w:type="dxa"/>
        <w:tblInd w:w="108" w:type="dxa"/>
        <w:tblLayout w:type="fixed"/>
        <w:tblLook w:val="01E0"/>
      </w:tblPr>
      <w:tblGrid>
        <w:gridCol w:w="8640"/>
      </w:tblGrid>
      <w:tr w:rsidR="002B7FC8" w:rsidRPr="0003525D">
        <w:tc>
          <w:tcPr>
            <w:tcW w:w="8640" w:type="dxa"/>
          </w:tcPr>
          <w:p w:rsidR="002B7FC8" w:rsidRPr="00242808" w:rsidRDefault="00F16B61" w:rsidP="00893B06">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25023F">
              <w:rPr>
                <w:rFonts w:ascii="Arial" w:hAnsi="Arial" w:cs="Arial"/>
                <w:b/>
                <w:sz w:val="22"/>
                <w:szCs w:val="22"/>
              </w:rPr>
              <w:t>Innovation in policy and practice p</w:t>
            </w:r>
            <w:r w:rsidR="004B7D91">
              <w:rPr>
                <w:rFonts w:ascii="Arial" w:hAnsi="Arial" w:cs="Arial"/>
                <w:b/>
                <w:sz w:val="22"/>
                <w:szCs w:val="22"/>
              </w:rPr>
              <w:t>resentation</w:t>
            </w:r>
            <w:r w:rsidR="00893B06">
              <w:rPr>
                <w:rFonts w:ascii="Arial" w:hAnsi="Arial" w:cs="Arial"/>
                <w:sz w:val="22"/>
                <w:szCs w:val="22"/>
              </w:rPr>
              <w:t>:”La malnutrition”</w:t>
            </w:r>
          </w:p>
        </w:tc>
      </w:tr>
      <w:tr w:rsidR="002B7FC8" w:rsidRPr="0003525D" w:rsidTr="00D71EFE">
        <w:trPr>
          <w:trHeight w:val="7663"/>
        </w:trPr>
        <w:tc>
          <w:tcPr>
            <w:tcW w:w="8640" w:type="dxa"/>
          </w:tcPr>
          <w:p w:rsidR="00DA7A71" w:rsidRPr="00893B06" w:rsidRDefault="0025023F" w:rsidP="00E36AD7">
            <w:pPr>
              <w:jc w:val="both"/>
              <w:rPr>
                <w:rFonts w:ascii="Arial" w:hAnsi="Arial" w:cs="Arial"/>
                <w:b/>
                <w:sz w:val="22"/>
                <w:szCs w:val="22"/>
                <w:lang w:val="fr-FR"/>
              </w:rPr>
            </w:pPr>
            <w:bookmarkStart w:id="0" w:name="_GoBack"/>
            <w:bookmarkEnd w:id="0"/>
            <w:r w:rsidRPr="00893B06">
              <w:rPr>
                <w:rFonts w:ascii="Arial" w:hAnsi="Arial" w:cs="Arial"/>
                <w:b/>
                <w:sz w:val="22"/>
                <w:szCs w:val="22"/>
                <w:lang w:val="fr-FR"/>
              </w:rPr>
              <w:t>Setting/</w:t>
            </w:r>
            <w:proofErr w:type="spellStart"/>
            <w:r w:rsidRPr="00893B06">
              <w:rPr>
                <w:rFonts w:ascii="Arial" w:hAnsi="Arial" w:cs="Arial"/>
                <w:b/>
                <w:sz w:val="22"/>
                <w:szCs w:val="22"/>
                <w:lang w:val="fr-FR"/>
              </w:rPr>
              <w:t>problem</w:t>
            </w:r>
            <w:proofErr w:type="spellEnd"/>
          </w:p>
          <w:p w:rsidR="00893B06" w:rsidRPr="00893B06" w:rsidRDefault="00893B06" w:rsidP="00893B06">
            <w:pPr>
              <w:pStyle w:val="NormalWeb"/>
              <w:shd w:val="clear" w:color="auto" w:fill="FFFFFF"/>
              <w:spacing w:before="0" w:beforeAutospacing="0" w:after="255" w:afterAutospacing="0"/>
              <w:rPr>
                <w:rFonts w:ascii="Arial" w:hAnsi="Arial" w:cs="Arial"/>
                <w:color w:val="222222"/>
                <w:sz w:val="22"/>
                <w:szCs w:val="22"/>
                <w:lang w:val="fr-FR"/>
              </w:rPr>
            </w:pPr>
            <w:r w:rsidRPr="00893B06">
              <w:rPr>
                <w:rFonts w:ascii="Arial" w:hAnsi="Arial" w:cs="Arial"/>
                <w:color w:val="222222"/>
                <w:sz w:val="22"/>
                <w:szCs w:val="22"/>
                <w:lang w:val="fr-FR"/>
              </w:rPr>
              <w:t>Les pays en développement sont confrontés à une double problématique nutritionnelle : d’une part les problèmes de «sous-nutrition» sont encore omniprésents au sein de leur population : carences générales ou en micronutriments, alors qu’émergent d’autre part des problèmes de «surnutrition» favorisant les maladies de surcharge métabolique : obésité, hypertension artérielle, diabète et dyslipidémies ; ainsi que les maladies cardiovasculaires et certains cancers. La «sous-nutrition» et la «surnutrition» peuvent ainsi cohabiter non seulement au niveau des États, mais également au sein d’une même population, d’une même famille, voire d’un même individu. La coexistence de cette malnutrition à deux faces est définie comme le phénomène du double fardeau nutritionnel.</w:t>
            </w:r>
          </w:p>
          <w:p w:rsidR="00DA7A71" w:rsidRPr="00893B06" w:rsidRDefault="00893B06" w:rsidP="00893B06">
            <w:pPr>
              <w:pStyle w:val="NormalWeb"/>
              <w:shd w:val="clear" w:color="auto" w:fill="FFFFFF"/>
              <w:spacing w:before="0" w:beforeAutospacing="0" w:after="255" w:afterAutospacing="0"/>
              <w:rPr>
                <w:rFonts w:ascii="Arial" w:hAnsi="Arial" w:cs="Arial"/>
                <w:color w:val="222222"/>
                <w:sz w:val="22"/>
                <w:szCs w:val="22"/>
                <w:shd w:val="clear" w:color="auto" w:fill="FFFFFF"/>
                <w:lang w:val="fr-FR"/>
              </w:rPr>
            </w:pPr>
            <w:r w:rsidRPr="00893B06">
              <w:rPr>
                <w:rFonts w:ascii="Arial" w:hAnsi="Arial" w:cs="Arial"/>
                <w:color w:val="222222"/>
                <w:sz w:val="22"/>
                <w:szCs w:val="22"/>
                <w:shd w:val="clear" w:color="auto" w:fill="FFFFFF"/>
                <w:lang w:val="fr-FR"/>
              </w:rPr>
              <w:t>Ces maladies chroniques sont pourtant évitables, notamment par la mise en place de programmes et de politiques de prévention et de promotion de la santé ainsi que par la sensibilisation des populations à l’importance d’une alimentation saine, équilibrée et diversifiée et de la pratique de l’activité physique.</w:t>
            </w:r>
          </w:p>
          <w:p w:rsidR="00DA7A71" w:rsidRDefault="0025023F" w:rsidP="00E36AD7">
            <w:pPr>
              <w:jc w:val="both"/>
              <w:rPr>
                <w:rFonts w:ascii="Arial" w:hAnsi="Arial" w:cs="Arial"/>
                <w:b/>
                <w:sz w:val="22"/>
                <w:szCs w:val="22"/>
              </w:rPr>
            </w:pPr>
            <w:r>
              <w:rPr>
                <w:rFonts w:ascii="Arial" w:hAnsi="Arial" w:cs="Arial"/>
                <w:b/>
                <w:sz w:val="22"/>
                <w:szCs w:val="22"/>
              </w:rPr>
              <w:t>Intervention</w:t>
            </w:r>
          </w:p>
          <w:p w:rsidR="00893B06" w:rsidRPr="00CE366C" w:rsidRDefault="00893B06" w:rsidP="00893B06">
            <w:pPr>
              <w:numPr>
                <w:ilvl w:val="0"/>
                <w:numId w:val="1"/>
              </w:numPr>
              <w:shd w:val="clear" w:color="auto" w:fill="FAFAFA"/>
              <w:spacing w:before="75" w:after="150" w:line="240" w:lineRule="atLeast"/>
              <w:ind w:left="375"/>
              <w:rPr>
                <w:rFonts w:ascii="Arial" w:hAnsi="Arial" w:cs="Arial"/>
                <w:sz w:val="22"/>
                <w:szCs w:val="22"/>
                <w:lang w:val="fr-FR" w:eastAsia="fr-FR"/>
              </w:rPr>
            </w:pPr>
            <w:r w:rsidRPr="00CE366C">
              <w:rPr>
                <w:rFonts w:ascii="Arial" w:hAnsi="Arial" w:cs="Arial"/>
                <w:bCs/>
                <w:sz w:val="22"/>
                <w:szCs w:val="22"/>
                <w:lang w:val="fr-FR" w:eastAsia="fr-FR"/>
              </w:rPr>
              <w:t>Renforcer les capacités de production des familles les plus pauvres et préserver leur accès à l’alimentation pendant les périodes de soudure</w:t>
            </w:r>
            <w:r w:rsidRPr="00CE366C">
              <w:rPr>
                <w:rFonts w:ascii="Arial" w:hAnsi="Arial" w:cs="Arial"/>
                <w:sz w:val="22"/>
                <w:szCs w:val="22"/>
                <w:lang w:val="fr-FR" w:eastAsia="fr-FR"/>
              </w:rPr>
              <w:t>, par des transferts sociaux (monétaires ou alimentaires) et des fonds de relance des activités agricoles ;</w:t>
            </w:r>
          </w:p>
          <w:p w:rsidR="00893B06" w:rsidRPr="00CE366C" w:rsidRDefault="00893B06" w:rsidP="00893B06">
            <w:pPr>
              <w:numPr>
                <w:ilvl w:val="0"/>
                <w:numId w:val="1"/>
              </w:numPr>
              <w:shd w:val="clear" w:color="auto" w:fill="FAFAFA"/>
              <w:spacing w:before="75" w:after="150" w:line="240" w:lineRule="atLeast"/>
              <w:ind w:left="375"/>
              <w:rPr>
                <w:rFonts w:ascii="Arial" w:hAnsi="Arial" w:cs="Arial"/>
                <w:sz w:val="22"/>
                <w:szCs w:val="22"/>
                <w:lang w:val="fr-FR" w:eastAsia="fr-FR"/>
              </w:rPr>
            </w:pPr>
            <w:r w:rsidRPr="00CE366C">
              <w:rPr>
                <w:rFonts w:ascii="Arial" w:hAnsi="Arial" w:cs="Arial"/>
                <w:bCs/>
                <w:sz w:val="22"/>
                <w:szCs w:val="22"/>
                <w:lang w:val="fr-FR" w:eastAsia="fr-FR"/>
              </w:rPr>
              <w:t>Renforcer et sécuriser les moyens d’existence provenant de l’agriculture</w:t>
            </w:r>
            <w:r w:rsidRPr="00CE366C">
              <w:rPr>
                <w:rFonts w:ascii="Arial" w:hAnsi="Arial" w:cs="Arial"/>
                <w:sz w:val="22"/>
                <w:szCs w:val="22"/>
                <w:lang w:val="fr-FR" w:eastAsia="fr-FR"/>
              </w:rPr>
              <w:t> pour développer la production vivrière et assurer la disponibilité d’une alimentation diversifiée tout au long de l’année, en appuyant producteurs et groupements à adopter des techniques et systèmes de culture améliorés, en diversifiant les productions vivrières et en développant de nouvelles activités économiques ;</w:t>
            </w:r>
          </w:p>
          <w:p w:rsidR="00DA7A71" w:rsidRPr="00893B06" w:rsidRDefault="00893B06" w:rsidP="00893B06">
            <w:pPr>
              <w:numPr>
                <w:ilvl w:val="0"/>
                <w:numId w:val="1"/>
              </w:numPr>
              <w:shd w:val="clear" w:color="auto" w:fill="FAFAFA"/>
              <w:spacing w:before="75" w:after="150" w:line="240" w:lineRule="atLeast"/>
              <w:ind w:left="375"/>
              <w:rPr>
                <w:rFonts w:ascii="Arial" w:hAnsi="Arial" w:cs="Arial"/>
                <w:sz w:val="22"/>
                <w:szCs w:val="22"/>
                <w:lang w:val="fr-FR" w:eastAsia="fr-FR"/>
              </w:rPr>
            </w:pPr>
            <w:r w:rsidRPr="00CE366C">
              <w:rPr>
                <w:rFonts w:ascii="Arial" w:hAnsi="Arial" w:cs="Arial"/>
                <w:bCs/>
                <w:sz w:val="22"/>
                <w:szCs w:val="22"/>
                <w:lang w:val="fr-FR" w:eastAsia="fr-FR"/>
              </w:rPr>
              <w:t>Améliorer les pratiques nutritionnelles</w:t>
            </w:r>
            <w:r w:rsidRPr="00CE366C">
              <w:rPr>
                <w:rFonts w:ascii="Arial" w:hAnsi="Arial" w:cs="Arial"/>
                <w:sz w:val="22"/>
                <w:szCs w:val="22"/>
                <w:lang w:val="fr-FR" w:eastAsia="fr-FR"/>
              </w:rPr>
              <w:t> pour prévenir de la malnutrition les femmes enceintes et allaitantes et les jeunes enfants, par des actions de sensibilisation aux bonnes pratiques d’alimentation, de soins et d’hygiène et la mise à disposition d’un aliment de complément adapté aux jeunes enfants.</w:t>
            </w:r>
          </w:p>
          <w:p w:rsidR="00DA7A71" w:rsidRPr="00893B06" w:rsidRDefault="0025023F" w:rsidP="00E36AD7">
            <w:pPr>
              <w:jc w:val="both"/>
              <w:rPr>
                <w:rFonts w:ascii="Arial" w:hAnsi="Arial" w:cs="Arial"/>
                <w:b/>
                <w:sz w:val="22"/>
                <w:szCs w:val="22"/>
                <w:lang w:val="fr-FR"/>
              </w:rPr>
            </w:pPr>
            <w:proofErr w:type="spellStart"/>
            <w:r w:rsidRPr="00893B06">
              <w:rPr>
                <w:rFonts w:ascii="Arial" w:hAnsi="Arial" w:cs="Arial"/>
                <w:b/>
                <w:sz w:val="22"/>
                <w:szCs w:val="22"/>
                <w:lang w:val="fr-FR"/>
              </w:rPr>
              <w:t>Outcomes</w:t>
            </w:r>
            <w:proofErr w:type="spellEnd"/>
          </w:p>
          <w:p w:rsidR="00893B06" w:rsidRPr="00CE366C" w:rsidRDefault="00893B06" w:rsidP="00893B06">
            <w:pPr>
              <w:spacing w:after="200"/>
              <w:jc w:val="both"/>
              <w:rPr>
                <w:rFonts w:ascii="Arial" w:hAnsi="Arial" w:cs="Arial"/>
                <w:sz w:val="22"/>
                <w:szCs w:val="22"/>
                <w:lang w:val="fr-FR" w:eastAsia="fr-FR"/>
              </w:rPr>
            </w:pPr>
            <w:r w:rsidRPr="00CE366C">
              <w:rPr>
                <w:rFonts w:ascii="Arial" w:hAnsi="Arial" w:cs="Arial"/>
                <w:b/>
                <w:sz w:val="22"/>
                <w:szCs w:val="22"/>
                <w:lang w:val="fr-FR" w:eastAsia="fr-FR"/>
              </w:rPr>
              <w:t>*</w:t>
            </w:r>
            <w:r w:rsidRPr="00CE366C">
              <w:rPr>
                <w:rFonts w:ascii="Arial" w:hAnsi="Arial" w:cs="Arial"/>
                <w:sz w:val="22"/>
                <w:szCs w:val="22"/>
                <w:lang w:val="fr-FR" w:eastAsia="fr-FR"/>
              </w:rPr>
              <w:t xml:space="preserve"> la formation des leaders sur la considération de la qua</w:t>
            </w:r>
            <w:r w:rsidRPr="00893B06">
              <w:rPr>
                <w:rFonts w:ascii="Arial" w:hAnsi="Arial" w:cs="Arial"/>
                <w:sz w:val="22"/>
                <w:szCs w:val="22"/>
                <w:lang w:val="fr-FR" w:eastAsia="fr-FR"/>
              </w:rPr>
              <w:t>ntité mais surtout de la qualit</w:t>
            </w:r>
            <w:r w:rsidRPr="00CE366C">
              <w:rPr>
                <w:rFonts w:ascii="Arial" w:hAnsi="Arial" w:cs="Arial"/>
                <w:sz w:val="22"/>
                <w:szCs w:val="22"/>
                <w:lang w:val="fr-FR" w:eastAsia="fr-FR"/>
              </w:rPr>
              <w:t>é de nourriture.</w:t>
            </w:r>
          </w:p>
          <w:p w:rsidR="00893B06" w:rsidRPr="00CE366C" w:rsidRDefault="00893B06" w:rsidP="00893B06">
            <w:pPr>
              <w:jc w:val="both"/>
              <w:rPr>
                <w:rFonts w:ascii="Arial" w:hAnsi="Arial" w:cs="Arial"/>
                <w:sz w:val="22"/>
                <w:szCs w:val="22"/>
                <w:lang w:val="fr-FR"/>
              </w:rPr>
            </w:pPr>
            <w:r w:rsidRPr="00CE366C">
              <w:rPr>
                <w:rFonts w:ascii="Arial" w:hAnsi="Arial" w:cs="Arial"/>
                <w:sz w:val="22"/>
                <w:szCs w:val="22"/>
                <w:lang w:val="fr-FR"/>
              </w:rPr>
              <w:t>*Planification des programmes conjoints intersectoriels en faveur de la lutte contre la malnutrition.</w:t>
            </w:r>
          </w:p>
          <w:p w:rsidR="004B7D91" w:rsidRPr="00893B06" w:rsidRDefault="004B7D91" w:rsidP="00E36AD7">
            <w:pPr>
              <w:jc w:val="both"/>
              <w:rPr>
                <w:rFonts w:ascii="Arial" w:hAnsi="Arial" w:cs="Arial"/>
                <w:b/>
                <w:sz w:val="22"/>
                <w:szCs w:val="22"/>
                <w:lang w:val="fr-FR"/>
              </w:rPr>
            </w:pPr>
          </w:p>
          <w:p w:rsidR="004B7D91" w:rsidRPr="00893B06" w:rsidRDefault="0025023F" w:rsidP="00E36AD7">
            <w:pPr>
              <w:jc w:val="both"/>
              <w:rPr>
                <w:rFonts w:ascii="Arial" w:hAnsi="Arial" w:cs="Arial"/>
                <w:b/>
                <w:sz w:val="22"/>
                <w:szCs w:val="22"/>
                <w:lang w:val="fr-FR"/>
              </w:rPr>
            </w:pPr>
            <w:r w:rsidRPr="00893B06">
              <w:rPr>
                <w:rFonts w:ascii="Arial" w:hAnsi="Arial" w:cs="Arial"/>
                <w:b/>
                <w:sz w:val="22"/>
                <w:szCs w:val="22"/>
                <w:lang w:val="fr-FR"/>
              </w:rPr>
              <w:t>Implications</w:t>
            </w:r>
          </w:p>
          <w:p w:rsidR="00C978A6" w:rsidRPr="00893B06" w:rsidRDefault="00893B06" w:rsidP="00E36AD7">
            <w:pPr>
              <w:jc w:val="both"/>
              <w:rPr>
                <w:rFonts w:ascii="Arial" w:hAnsi="Arial" w:cs="Arial"/>
                <w:sz w:val="22"/>
                <w:szCs w:val="22"/>
                <w:lang w:val="fr-FR"/>
              </w:rPr>
            </w:pPr>
            <w:r w:rsidRPr="00CE366C">
              <w:rPr>
                <w:rFonts w:ascii="Arial" w:hAnsi="Arial" w:cs="Arial"/>
                <w:sz w:val="22"/>
                <w:szCs w:val="22"/>
                <w:lang w:val="fr-FR"/>
              </w:rPr>
              <w:t>Association pour la Promotion de la Santé et ses partenaires sont impliqués dans la lute contre la malnutrition</w:t>
            </w:r>
            <w:r>
              <w:rPr>
                <w:rFonts w:ascii="Arial" w:hAnsi="Arial" w:cs="Arial"/>
                <w:sz w:val="22"/>
                <w:szCs w:val="22"/>
                <w:lang w:val="fr-FR"/>
              </w:rPr>
              <w:t>.</w:t>
            </w:r>
          </w:p>
          <w:p w:rsidR="004B7D91" w:rsidRPr="00893B06" w:rsidRDefault="004B7D91" w:rsidP="00E36AD7">
            <w:pPr>
              <w:jc w:val="both"/>
              <w:rPr>
                <w:rFonts w:ascii="Arial" w:hAnsi="Arial" w:cs="Arial"/>
                <w:b/>
                <w:sz w:val="22"/>
                <w:szCs w:val="22"/>
                <w:lang w:val="fr-FR"/>
              </w:rPr>
            </w:pPr>
          </w:p>
          <w:p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rsidR="00893B06" w:rsidRPr="00CE366C" w:rsidRDefault="00893B06" w:rsidP="00893B06">
            <w:pPr>
              <w:jc w:val="both"/>
              <w:rPr>
                <w:rFonts w:ascii="Arial" w:hAnsi="Arial" w:cs="Arial"/>
                <w:b/>
                <w:sz w:val="22"/>
                <w:szCs w:val="22"/>
                <w:lang w:val="en-US"/>
              </w:rPr>
            </w:pPr>
            <w:r w:rsidRPr="00CE366C">
              <w:rPr>
                <w:rFonts w:ascii="Arial" w:hAnsi="Arial" w:cs="Arial"/>
                <w:sz w:val="22"/>
                <w:szCs w:val="22"/>
                <w:shd w:val="clear" w:color="auto" w:fill="FFFFFF"/>
                <w:lang w:val="en-US"/>
              </w:rPr>
              <w:t>oral/poster presentation</w:t>
            </w:r>
          </w:p>
          <w:p w:rsidR="00DA7A71" w:rsidRPr="00893B06" w:rsidRDefault="00DA7A71" w:rsidP="00E36AD7">
            <w:pPr>
              <w:jc w:val="both"/>
              <w:rPr>
                <w:rFonts w:ascii="Arial" w:hAnsi="Arial" w:cs="Arial"/>
                <w:b/>
                <w:sz w:val="22"/>
                <w:szCs w:val="22"/>
                <w:lang w:val="en-US"/>
              </w:rPr>
            </w:pPr>
          </w:p>
          <w:p w:rsidR="00DA7A71" w:rsidRDefault="00DA7A71" w:rsidP="00E36AD7">
            <w:pPr>
              <w:jc w:val="both"/>
              <w:rPr>
                <w:rFonts w:ascii="Arial" w:hAnsi="Arial" w:cs="Arial"/>
                <w:b/>
                <w:sz w:val="22"/>
                <w:szCs w:val="22"/>
              </w:rPr>
            </w:pPr>
          </w:p>
          <w:p w:rsidR="00DA7A71" w:rsidRPr="00DA7A71" w:rsidRDefault="00DA7A71" w:rsidP="00E36AD7">
            <w:pPr>
              <w:jc w:val="both"/>
              <w:rPr>
                <w:rFonts w:ascii="Arial" w:hAnsi="Arial" w:cs="Arial"/>
                <w:bCs/>
                <w:sz w:val="22"/>
                <w:szCs w:val="22"/>
              </w:rPr>
            </w:pPr>
          </w:p>
        </w:tc>
      </w:tr>
    </w:tbl>
    <w:p w:rsidR="00490208" w:rsidRDefault="00490208" w:rsidP="004C45A1"/>
    <w:sectPr w:rsidR="00490208" w:rsidSect="003C7FA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119C2"/>
    <w:multiLevelType w:val="multilevel"/>
    <w:tmpl w:val="7F14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forms" w:enforcement="0"/>
  <w:defaultTabStop w:val="720"/>
  <w:hyphenationZone w:val="425"/>
  <w:doNotShadeFormData/>
  <w:characterSpacingControl w:val="doNotCompress"/>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C7FAE"/>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93B06"/>
    <w:rsid w:val="008C05AC"/>
    <w:rsid w:val="00932377"/>
    <w:rsid w:val="009579B1"/>
    <w:rsid w:val="00994DCB"/>
    <w:rsid w:val="009B7881"/>
    <w:rsid w:val="009C7B98"/>
    <w:rsid w:val="00A112C8"/>
    <w:rsid w:val="00A1780F"/>
    <w:rsid w:val="00AA1598"/>
    <w:rsid w:val="00AA5B46"/>
    <w:rsid w:val="00AB42C9"/>
    <w:rsid w:val="00B12CD1"/>
    <w:rsid w:val="00B20967"/>
    <w:rsid w:val="00B62EA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traitcorpsdetexte">
    <w:name w:val="Body Text Indent"/>
    <w:basedOn w:val="Normal"/>
    <w:rsid w:val="000C05CE"/>
    <w:pPr>
      <w:spacing w:after="120"/>
      <w:ind w:left="283"/>
    </w:pPr>
    <w:rPr>
      <w:sz w:val="20"/>
      <w:szCs w:val="20"/>
      <w:lang w:val="en-US"/>
    </w:rPr>
  </w:style>
  <w:style w:type="table" w:styleId="Grilledutableau">
    <w:name w:val="Table Grid"/>
    <w:basedOn w:val="Tableau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r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r="http://schemas.openxmlformats.org/officeDocument/2006/relationships" xmlns:w="http://schemas.openxmlformats.org/wordprocessingml/2006/main">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389</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Helene</cp:lastModifiedBy>
  <cp:revision>2</cp:revision>
  <dcterms:created xsi:type="dcterms:W3CDTF">2018-12-20T13:54:00Z</dcterms:created>
  <dcterms:modified xsi:type="dcterms:W3CDTF">2018-12-20T13:54:00Z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