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51FAB" w14:textId="77777777" w:rsidR="00E95E6E" w:rsidRDefault="00E95E6E">
      <w:pPr>
        <w:rPr>
          <w:rFonts w:ascii="Arial" w:eastAsia="Arial" w:hAnsi="Arial" w:cs="Arial"/>
          <w:sz w:val="22"/>
          <w:szCs w:val="22"/>
        </w:rPr>
      </w:pPr>
    </w:p>
    <w:tbl>
      <w:tblPr>
        <w:tblStyle w:val="a"/>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0"/>
      </w:tblGrid>
      <w:tr w:rsidR="00E95E6E" w14:paraId="5CDA246B" w14:textId="77777777">
        <w:tc>
          <w:tcPr>
            <w:tcW w:w="8640" w:type="dxa"/>
            <w:shd w:val="clear" w:color="auto" w:fill="F2F2F2"/>
          </w:tcPr>
          <w:p w14:paraId="40C5AA49" w14:textId="08C968B2" w:rsidR="00E95E6E" w:rsidRPr="00B64B22" w:rsidRDefault="00B64B22">
            <w:pPr>
              <w:rPr>
                <w:rFonts w:ascii="Arial" w:eastAsia="Arial" w:hAnsi="Arial" w:cs="Arial"/>
                <w:bCs/>
                <w:i/>
                <w:iCs/>
                <w:sz w:val="22"/>
                <w:szCs w:val="22"/>
              </w:rPr>
            </w:pPr>
            <w:r w:rsidRPr="00B64B22">
              <w:rPr>
                <w:rFonts w:ascii="Arial" w:eastAsia="Arial" w:hAnsi="Arial" w:cs="Arial"/>
                <w:bCs/>
                <w:i/>
                <w:iCs/>
                <w:sz w:val="22"/>
                <w:szCs w:val="22"/>
              </w:rPr>
              <w:t>Panel</w:t>
            </w:r>
          </w:p>
          <w:p w14:paraId="7A2278E0" w14:textId="77777777" w:rsidR="00E95E6E" w:rsidRPr="00B64B22" w:rsidRDefault="00E10F2A">
            <w:pPr>
              <w:rPr>
                <w:rFonts w:ascii="Arial" w:eastAsia="Arial" w:hAnsi="Arial" w:cs="Arial"/>
                <w:b/>
                <w:bCs/>
                <w:sz w:val="22"/>
                <w:szCs w:val="22"/>
              </w:rPr>
            </w:pPr>
            <w:r w:rsidRPr="00B64B22">
              <w:rPr>
                <w:rFonts w:ascii="Arial" w:eastAsia="Arial" w:hAnsi="Arial" w:cs="Arial"/>
                <w:b/>
                <w:bCs/>
                <w:sz w:val="22"/>
                <w:szCs w:val="22"/>
              </w:rPr>
              <w:t xml:space="preserve">The Pacific’s Collaborative Regional Research Agenda:  A case study examining Pacific Island farmers' challenges in growing crops under changing climatic conditions.  </w:t>
            </w:r>
          </w:p>
          <w:p w14:paraId="178418B9" w14:textId="77777777" w:rsidR="00E95E6E" w:rsidRDefault="00E95E6E">
            <w:pPr>
              <w:rPr>
                <w:rFonts w:ascii="Arial" w:eastAsia="Arial" w:hAnsi="Arial" w:cs="Arial"/>
                <w:sz w:val="22"/>
                <w:szCs w:val="22"/>
              </w:rPr>
            </w:pPr>
          </w:p>
          <w:p w14:paraId="41B521B0" w14:textId="77777777" w:rsidR="00E95E6E" w:rsidRDefault="00E95E6E">
            <w:pPr>
              <w:rPr>
                <w:rFonts w:ascii="Arial" w:eastAsia="Arial" w:hAnsi="Arial" w:cs="Arial"/>
                <w:sz w:val="22"/>
                <w:szCs w:val="22"/>
              </w:rPr>
            </w:pPr>
          </w:p>
        </w:tc>
      </w:tr>
      <w:tr w:rsidR="00E95E6E" w14:paraId="2A247D7C" w14:textId="77777777">
        <w:trPr>
          <w:trHeight w:val="2016"/>
        </w:trPr>
        <w:tc>
          <w:tcPr>
            <w:tcW w:w="8640" w:type="dxa"/>
          </w:tcPr>
          <w:p w14:paraId="46F6FAC2" w14:textId="77777777" w:rsidR="00E95E6E" w:rsidRDefault="00E95E6E">
            <w:pPr>
              <w:rPr>
                <w:rFonts w:ascii="Arial" w:eastAsia="Arial" w:hAnsi="Arial" w:cs="Arial"/>
                <w:b/>
                <w:sz w:val="22"/>
                <w:szCs w:val="22"/>
              </w:rPr>
            </w:pPr>
          </w:p>
          <w:p w14:paraId="0BFEC74F" w14:textId="77777777" w:rsidR="00E95E6E" w:rsidRDefault="00E10F2A">
            <w:pPr>
              <w:rPr>
                <w:rFonts w:ascii="Arial" w:eastAsia="Arial" w:hAnsi="Arial" w:cs="Arial"/>
                <w:sz w:val="22"/>
                <w:szCs w:val="22"/>
              </w:rPr>
            </w:pPr>
            <w:r>
              <w:rPr>
                <w:rFonts w:ascii="Arial" w:eastAsia="Arial" w:hAnsi="Arial" w:cs="Arial"/>
                <w:sz w:val="22"/>
                <w:szCs w:val="22"/>
              </w:rPr>
              <w:t xml:space="preserve">Crop production throughout the Pacific is crucial to sustaining a nation’s food security, as well as providing livelihoods. Climate change is already a critical issue for Pacific nations, which can threaten the ability of local farmers to produce crops through changes in climatic elements such as temperature, rainfall, and droughts among others. </w:t>
            </w:r>
          </w:p>
          <w:p w14:paraId="4830EB94" w14:textId="77777777" w:rsidR="00E95E6E" w:rsidRDefault="00E95E6E">
            <w:pPr>
              <w:rPr>
                <w:rFonts w:ascii="Arial" w:eastAsia="Arial" w:hAnsi="Arial" w:cs="Arial"/>
                <w:sz w:val="22"/>
                <w:szCs w:val="22"/>
              </w:rPr>
            </w:pPr>
          </w:p>
          <w:p w14:paraId="17CA6A5B" w14:textId="77777777" w:rsidR="00E95E6E" w:rsidRDefault="00E10F2A">
            <w:pPr>
              <w:rPr>
                <w:rFonts w:ascii="Arial" w:eastAsia="Arial" w:hAnsi="Arial" w:cs="Arial"/>
                <w:sz w:val="22"/>
                <w:szCs w:val="22"/>
              </w:rPr>
            </w:pPr>
            <w:r>
              <w:rPr>
                <w:rFonts w:ascii="Arial" w:eastAsia="Arial" w:hAnsi="Arial" w:cs="Arial"/>
                <w:sz w:val="22"/>
                <w:szCs w:val="22"/>
              </w:rPr>
              <w:t>In 2021, The Pacific Heads of Agriculture and Forestry Services (PHOAFS) identified that Pacific Island Countries and Territories (PICTs) needed to drive, coordinate, and share resources to implement research to achieve regional impact</w:t>
            </w:r>
            <w:r>
              <w:rPr>
                <w:rFonts w:ascii="Arial" w:eastAsia="Arial" w:hAnsi="Arial" w:cs="Arial"/>
                <w:sz w:val="22"/>
                <w:szCs w:val="22"/>
                <w:vertAlign w:val="superscript"/>
              </w:rPr>
              <w:footnoteReference w:id="1"/>
            </w:r>
            <w:r>
              <w:rPr>
                <w:rFonts w:ascii="Arial" w:eastAsia="Arial" w:hAnsi="Arial" w:cs="Arial"/>
                <w:sz w:val="22"/>
                <w:szCs w:val="22"/>
              </w:rPr>
              <w:t xml:space="preserve">. At the request of the PHOAFS, the Pacific Community (SPC), in collaboration with member countries, developed a framework for a Regional Research Agenda (RRA). </w:t>
            </w:r>
          </w:p>
          <w:p w14:paraId="4B5ED384" w14:textId="77777777" w:rsidR="00E95E6E" w:rsidRDefault="00E95E6E">
            <w:pPr>
              <w:rPr>
                <w:rFonts w:ascii="Arial" w:eastAsia="Arial" w:hAnsi="Arial" w:cs="Arial"/>
                <w:sz w:val="22"/>
                <w:szCs w:val="22"/>
              </w:rPr>
            </w:pPr>
          </w:p>
          <w:p w14:paraId="0FE53A1C" w14:textId="77777777" w:rsidR="00E95E6E" w:rsidRDefault="00E10F2A">
            <w:pPr>
              <w:rPr>
                <w:rFonts w:ascii="Arial" w:eastAsia="Arial" w:hAnsi="Arial" w:cs="Arial"/>
                <w:sz w:val="22"/>
                <w:szCs w:val="22"/>
              </w:rPr>
            </w:pPr>
            <w:r>
              <w:rPr>
                <w:rFonts w:ascii="Arial" w:eastAsia="Arial" w:hAnsi="Arial" w:cs="Arial"/>
                <w:sz w:val="22"/>
                <w:szCs w:val="22"/>
              </w:rPr>
              <w:t>The vision of the RRA framework is that it “Identifies common forestry and agriculture development challenges in the Pacific Region, establishes Pacific research partnerships, and defines research strategies to overcome these challenges. The RRA brings decision making, leadership, and planning into an inclusive Pacific process”.  The framework has three main components; ‘Hearing Pacific Voices’, ‘Peer Review’ and ‘Partners in Research’.</w:t>
            </w:r>
            <w:r>
              <w:rPr>
                <w:rFonts w:ascii="Arial" w:eastAsia="Arial" w:hAnsi="Arial" w:cs="Arial"/>
                <w:sz w:val="22"/>
                <w:szCs w:val="22"/>
                <w:vertAlign w:val="superscript"/>
              </w:rPr>
              <w:footnoteReference w:id="2"/>
            </w:r>
            <w:r>
              <w:rPr>
                <w:rFonts w:ascii="Arial" w:eastAsia="Arial" w:hAnsi="Arial" w:cs="Arial"/>
                <w:sz w:val="22"/>
                <w:szCs w:val="22"/>
              </w:rPr>
              <w:t xml:space="preserve">   A group of research leaders nominated by the PHOAFS worked closely with SPC as the secretariat to test the framework.  </w:t>
            </w:r>
          </w:p>
          <w:p w14:paraId="67F2FEC4" w14:textId="77777777" w:rsidR="00E95E6E" w:rsidRDefault="00E95E6E">
            <w:pPr>
              <w:rPr>
                <w:rFonts w:ascii="Arial" w:eastAsia="Arial" w:hAnsi="Arial" w:cs="Arial"/>
                <w:sz w:val="22"/>
                <w:szCs w:val="22"/>
              </w:rPr>
            </w:pPr>
          </w:p>
          <w:p w14:paraId="702480B0" w14:textId="77777777" w:rsidR="00E95E6E" w:rsidRDefault="00E10F2A">
            <w:pPr>
              <w:rPr>
                <w:rFonts w:ascii="Arial" w:eastAsia="Arial" w:hAnsi="Arial" w:cs="Arial"/>
                <w:sz w:val="22"/>
                <w:szCs w:val="22"/>
              </w:rPr>
            </w:pPr>
            <w:r>
              <w:rPr>
                <w:rFonts w:ascii="Arial" w:eastAsia="Arial" w:hAnsi="Arial" w:cs="Arial"/>
                <w:sz w:val="22"/>
                <w:szCs w:val="22"/>
              </w:rPr>
              <w:t xml:space="preserve">The testing process saw a literature review conducted on the regional priorities of agriculture and forestry strategies, policies and plans. It also identified priorities through the SPC regional networks. These priorities were sieved using a methodology developed by the research leaders and the priority of promoting crops that are climate resilient was identified as the most suitable to test the remaining components of the RRA framework on. Literature was collected through relevant databases and networks to identify all available publications which focused on the highlighted priority of ‘Promoting Crops that are Climate Resilient’. One of the main highlighted gaps from the literature review was the lack of participatory research focusing on farmers.  </w:t>
            </w:r>
          </w:p>
          <w:p w14:paraId="4369D7D3" w14:textId="77777777" w:rsidR="00E95E6E" w:rsidRDefault="00E95E6E">
            <w:pPr>
              <w:rPr>
                <w:rFonts w:ascii="Arial" w:eastAsia="Arial" w:hAnsi="Arial" w:cs="Arial"/>
                <w:sz w:val="22"/>
                <w:szCs w:val="22"/>
              </w:rPr>
            </w:pPr>
          </w:p>
          <w:p w14:paraId="4E89851B" w14:textId="77777777" w:rsidR="00E95E6E" w:rsidRDefault="00E10F2A">
            <w:pPr>
              <w:rPr>
                <w:rFonts w:ascii="Arial" w:eastAsia="Arial" w:hAnsi="Arial" w:cs="Arial"/>
                <w:sz w:val="22"/>
                <w:szCs w:val="22"/>
              </w:rPr>
            </w:pPr>
            <w:r>
              <w:rPr>
                <w:rFonts w:ascii="Arial" w:eastAsia="Arial" w:hAnsi="Arial" w:cs="Arial"/>
                <w:sz w:val="22"/>
                <w:szCs w:val="22"/>
              </w:rPr>
              <w:t xml:space="preserve">The RRA identified the need for further research on the experiences of Pacific farmers adapting their crops or production systems to changing climatic conditions. Furthermore, new research needs to centre farmers’ voices in the research process to bridge the disconnect between local communities, research, and decision makers, as well as encourage greater support for and adoption of the findings. </w:t>
            </w:r>
          </w:p>
          <w:p w14:paraId="0CC43347" w14:textId="77777777" w:rsidR="00E95E6E" w:rsidRDefault="00E95E6E">
            <w:pPr>
              <w:rPr>
                <w:rFonts w:ascii="Arial" w:eastAsia="Arial" w:hAnsi="Arial" w:cs="Arial"/>
                <w:sz w:val="22"/>
                <w:szCs w:val="22"/>
              </w:rPr>
            </w:pPr>
          </w:p>
          <w:p w14:paraId="5DEFF5CB" w14:textId="77777777" w:rsidR="00E95E6E" w:rsidRDefault="00E10F2A">
            <w:pPr>
              <w:rPr>
                <w:rFonts w:ascii="Arial" w:eastAsia="Arial" w:hAnsi="Arial" w:cs="Arial"/>
                <w:sz w:val="22"/>
                <w:szCs w:val="22"/>
              </w:rPr>
            </w:pPr>
            <w:bookmarkStart w:id="0" w:name="_heading=h.gjdgxs" w:colFirst="0" w:colLast="0"/>
            <w:bookmarkEnd w:id="0"/>
            <w:r>
              <w:rPr>
                <w:rFonts w:ascii="Arial" w:eastAsia="Arial" w:hAnsi="Arial" w:cs="Arial"/>
                <w:sz w:val="22"/>
                <w:szCs w:val="22"/>
              </w:rPr>
              <w:lastRenderedPageBreak/>
              <w:t xml:space="preserve">The final component of the RRA framework entailed generating new research to address the above priorities and needs. This research was conducted across 2024 by a team of researchers nominated by the PHOAFS from the countries (Cook Islands, Fiji, Nauru, Tonga, Papua New Guinea and the Marshall Islands). The research sought to understand the challenges farmers face in growing their crops amidst changing climatic </w:t>
            </w:r>
            <w:proofErr w:type="gramStart"/>
            <w:r>
              <w:rPr>
                <w:rFonts w:ascii="Arial" w:eastAsia="Arial" w:hAnsi="Arial" w:cs="Arial"/>
                <w:sz w:val="22"/>
                <w:szCs w:val="22"/>
              </w:rPr>
              <w:t>conditions, and</w:t>
            </w:r>
            <w:proofErr w:type="gramEnd"/>
            <w:r>
              <w:rPr>
                <w:rFonts w:ascii="Arial" w:eastAsia="Arial" w:hAnsi="Arial" w:cs="Arial"/>
                <w:sz w:val="22"/>
                <w:szCs w:val="22"/>
              </w:rPr>
              <w:t xml:space="preserve"> understand the factors that influence farmers’ decisions to adapt their crop production systems. A survey was devised by SPC and Te Puna Vai Mārama (the Cook Islands Centre for Research) which was adapted and administered by the research team in their respective countries.   </w:t>
            </w:r>
          </w:p>
          <w:p w14:paraId="59B56621" w14:textId="77777777" w:rsidR="00E95E6E" w:rsidRDefault="00E95E6E">
            <w:pPr>
              <w:rPr>
                <w:rFonts w:ascii="Arial" w:eastAsia="Arial" w:hAnsi="Arial" w:cs="Arial"/>
                <w:sz w:val="22"/>
                <w:szCs w:val="22"/>
              </w:rPr>
            </w:pPr>
          </w:p>
          <w:p w14:paraId="1F1BE3B8" w14:textId="77777777" w:rsidR="00E95E6E" w:rsidRDefault="00E10F2A">
            <w:pPr>
              <w:rPr>
                <w:rFonts w:ascii="Arial" w:eastAsia="Arial" w:hAnsi="Arial" w:cs="Arial"/>
                <w:b/>
                <w:sz w:val="22"/>
                <w:szCs w:val="22"/>
              </w:rPr>
            </w:pPr>
            <w:r>
              <w:rPr>
                <w:rFonts w:ascii="Arial" w:eastAsia="Arial" w:hAnsi="Arial" w:cs="Arial"/>
                <w:sz w:val="22"/>
                <w:szCs w:val="22"/>
              </w:rPr>
              <w:t>This panel will showcase the collaborative processes behind the production of this research, and present brief findings from across the Cook Islands, Nauru, Tonga, Papua New Guinea and the Marshall Islands. The moderator will highlight the Regional Research Agenda framework to set the scene for the presentations that will follow from the panellists on the individual research conducted in their respective countries.  We will share the ways in which farmers across the Pacific have been adapting to changing climates, amongst other factors influencing their crop production, drawing on experiences from the Cook Islands and Nauru, with contributions to the discussions from the rest of the researchers who will join online. These presentations</w:t>
            </w:r>
            <w:r>
              <w:rPr>
                <w:rFonts w:ascii="Arial" w:eastAsia="Arial" w:hAnsi="Arial" w:cs="Arial"/>
                <w:b/>
                <w:sz w:val="22"/>
                <w:szCs w:val="22"/>
              </w:rPr>
              <w:t xml:space="preserve"> </w:t>
            </w:r>
            <w:r>
              <w:rPr>
                <w:rFonts w:ascii="Arial" w:eastAsia="Arial" w:hAnsi="Arial" w:cs="Arial"/>
                <w:sz w:val="22"/>
                <w:szCs w:val="22"/>
              </w:rPr>
              <w:t>contribute to a broader regional understanding of climate resilience in agriculture across the Pacific. They reveal the wisdom of local food producers, whilst also identifying gaps where further support is needed, a process which is crucial for developing policies and strategies that bolster the long-term sustainability of Pacific agriculture. We will also share how, in the case of the Cook Islands, this research has stimulated further cooperation between local farmers and the Cook Islands Ministry of Agriculture. It ultimately aims to celebrate the success of regional collaboration and the innovation of Pacific farmers.</w:t>
            </w:r>
          </w:p>
          <w:p w14:paraId="0BFBDA9F" w14:textId="77777777" w:rsidR="00E95E6E" w:rsidRDefault="00E95E6E">
            <w:pPr>
              <w:rPr>
                <w:rFonts w:ascii="Arial" w:eastAsia="Arial" w:hAnsi="Arial" w:cs="Arial"/>
                <w:b/>
                <w:sz w:val="22"/>
                <w:szCs w:val="22"/>
              </w:rPr>
            </w:pPr>
          </w:p>
          <w:p w14:paraId="57FEB1E5" w14:textId="77777777" w:rsidR="00E95E6E" w:rsidRDefault="00E95E6E">
            <w:pPr>
              <w:rPr>
                <w:rFonts w:ascii="Arial" w:eastAsia="Arial" w:hAnsi="Arial" w:cs="Arial"/>
                <w:b/>
                <w:sz w:val="22"/>
                <w:szCs w:val="22"/>
              </w:rPr>
            </w:pPr>
          </w:p>
          <w:p w14:paraId="60FB7781" w14:textId="77777777" w:rsidR="00E95E6E" w:rsidRDefault="00E95E6E">
            <w:pPr>
              <w:rPr>
                <w:rFonts w:ascii="Arial" w:eastAsia="Arial" w:hAnsi="Arial" w:cs="Arial"/>
                <w:b/>
                <w:sz w:val="22"/>
                <w:szCs w:val="22"/>
              </w:rPr>
            </w:pPr>
          </w:p>
        </w:tc>
      </w:tr>
      <w:tr w:rsidR="00E95E6E" w14:paraId="7C1ACBC2" w14:textId="77777777">
        <w:trPr>
          <w:trHeight w:val="576"/>
        </w:trPr>
        <w:tc>
          <w:tcPr>
            <w:tcW w:w="8640" w:type="dxa"/>
          </w:tcPr>
          <w:p w14:paraId="54EECDEB" w14:textId="77777777" w:rsidR="00E95E6E" w:rsidRDefault="00E10F2A">
            <w:pPr>
              <w:rPr>
                <w:rFonts w:ascii="Arial" w:eastAsia="Arial" w:hAnsi="Arial" w:cs="Arial"/>
                <w:b/>
                <w:sz w:val="22"/>
                <w:szCs w:val="22"/>
              </w:rPr>
            </w:pPr>
            <w:r>
              <w:rPr>
                <w:rFonts w:ascii="Arial" w:eastAsia="Arial" w:hAnsi="Arial" w:cs="Arial"/>
                <w:b/>
                <w:sz w:val="22"/>
                <w:szCs w:val="22"/>
              </w:rPr>
              <w:lastRenderedPageBreak/>
              <w:t>INDIVIDUAL PANELLIST CONTRIBUTION</w:t>
            </w:r>
          </w:p>
          <w:p w14:paraId="685EA256" w14:textId="77777777" w:rsidR="00E95E6E" w:rsidRDefault="00E95E6E">
            <w:pPr>
              <w:rPr>
                <w:rFonts w:ascii="Arial" w:eastAsia="Arial" w:hAnsi="Arial" w:cs="Arial"/>
                <w:b/>
                <w:sz w:val="22"/>
                <w:szCs w:val="22"/>
                <w:u w:val="single"/>
              </w:rPr>
            </w:pPr>
          </w:p>
          <w:p w14:paraId="1186A1A6" w14:textId="77777777" w:rsidR="00E95E6E" w:rsidRDefault="00E10F2A">
            <w:pPr>
              <w:rPr>
                <w:rFonts w:ascii="Arial" w:eastAsia="Arial" w:hAnsi="Arial" w:cs="Arial"/>
                <w:b/>
                <w:sz w:val="22"/>
                <w:szCs w:val="22"/>
                <w:u w:val="single"/>
              </w:rPr>
            </w:pPr>
            <w:r>
              <w:rPr>
                <w:rFonts w:ascii="Arial" w:eastAsia="Arial" w:hAnsi="Arial" w:cs="Arial"/>
                <w:b/>
                <w:sz w:val="22"/>
                <w:szCs w:val="22"/>
                <w:u w:val="single"/>
              </w:rPr>
              <w:t>Moderator Details</w:t>
            </w:r>
          </w:p>
          <w:p w14:paraId="74F42010" w14:textId="77777777" w:rsidR="00E95E6E" w:rsidRDefault="00E10F2A">
            <w:pPr>
              <w:rPr>
                <w:rFonts w:ascii="Arial" w:eastAsia="Arial" w:hAnsi="Arial" w:cs="Arial"/>
                <w:b/>
                <w:sz w:val="22"/>
                <w:szCs w:val="22"/>
              </w:rPr>
            </w:pPr>
            <w:r>
              <w:rPr>
                <w:rFonts w:ascii="Arial" w:eastAsia="Arial" w:hAnsi="Arial" w:cs="Arial"/>
                <w:b/>
                <w:sz w:val="22"/>
                <w:szCs w:val="22"/>
              </w:rPr>
              <w:t xml:space="preserve">Full Name: </w:t>
            </w:r>
            <w:r>
              <w:rPr>
                <w:rFonts w:ascii="Arial" w:eastAsia="Arial" w:hAnsi="Arial" w:cs="Arial"/>
                <w:sz w:val="22"/>
                <w:szCs w:val="22"/>
              </w:rPr>
              <w:t>Luisa Wara</w:t>
            </w:r>
          </w:p>
          <w:p w14:paraId="547EFFF2" w14:textId="77777777" w:rsidR="00E95E6E" w:rsidRDefault="00E10F2A">
            <w:pPr>
              <w:rPr>
                <w:rFonts w:ascii="Arial" w:eastAsia="Arial" w:hAnsi="Arial" w:cs="Arial"/>
                <w:b/>
                <w:sz w:val="22"/>
                <w:szCs w:val="22"/>
              </w:rPr>
            </w:pPr>
            <w:r>
              <w:rPr>
                <w:rFonts w:ascii="Arial" w:eastAsia="Arial" w:hAnsi="Arial" w:cs="Arial"/>
                <w:b/>
                <w:sz w:val="22"/>
                <w:szCs w:val="22"/>
              </w:rPr>
              <w:t xml:space="preserve">Organisation: </w:t>
            </w:r>
            <w:r>
              <w:rPr>
                <w:rFonts w:ascii="Arial" w:eastAsia="Arial" w:hAnsi="Arial" w:cs="Arial"/>
                <w:sz w:val="22"/>
                <w:szCs w:val="22"/>
              </w:rPr>
              <w:t>Pacific Community (SPC)</w:t>
            </w:r>
          </w:p>
          <w:p w14:paraId="272DC3C1" w14:textId="5926A679" w:rsidR="00E95E6E" w:rsidRDefault="00E10F2A">
            <w:pPr>
              <w:rPr>
                <w:rFonts w:ascii="Arial" w:eastAsia="Arial" w:hAnsi="Arial" w:cs="Arial"/>
                <w:b/>
                <w:sz w:val="22"/>
                <w:szCs w:val="22"/>
              </w:rPr>
            </w:pPr>
            <w:r>
              <w:rPr>
                <w:rFonts w:ascii="Arial" w:eastAsia="Arial" w:hAnsi="Arial" w:cs="Arial"/>
                <w:b/>
                <w:sz w:val="22"/>
                <w:szCs w:val="22"/>
              </w:rPr>
              <w:t>Bio sketch</w:t>
            </w:r>
            <w:r w:rsidR="00B64B22">
              <w:rPr>
                <w:rFonts w:ascii="Arial" w:eastAsia="Arial" w:hAnsi="Arial" w:cs="Arial"/>
                <w:b/>
                <w:sz w:val="22"/>
                <w:szCs w:val="22"/>
              </w:rPr>
              <w:t>:</w:t>
            </w:r>
          </w:p>
          <w:p w14:paraId="21BB789D" w14:textId="77777777" w:rsidR="00E95E6E" w:rsidRDefault="00E10F2A">
            <w:pPr>
              <w:rPr>
                <w:rFonts w:ascii="Arial" w:eastAsia="Arial" w:hAnsi="Arial" w:cs="Arial"/>
                <w:b/>
                <w:sz w:val="22"/>
                <w:szCs w:val="22"/>
              </w:rPr>
            </w:pPr>
            <w:r>
              <w:rPr>
                <w:rFonts w:ascii="Arial" w:eastAsia="Arial" w:hAnsi="Arial" w:cs="Arial"/>
                <w:sz w:val="22"/>
                <w:szCs w:val="22"/>
                <w:highlight w:val="white"/>
              </w:rPr>
              <w:t xml:space="preserve">Luisa is a researcher at the Land Resources Division of SPC, and a PhD researcher at the University of the South Pacific. As an </w:t>
            </w:r>
            <w:proofErr w:type="spellStart"/>
            <w:r>
              <w:rPr>
                <w:rFonts w:ascii="Arial" w:eastAsia="Arial" w:hAnsi="Arial" w:cs="Arial"/>
                <w:sz w:val="22"/>
                <w:szCs w:val="22"/>
                <w:highlight w:val="white"/>
              </w:rPr>
              <w:t>iTaukei</w:t>
            </w:r>
            <w:proofErr w:type="spellEnd"/>
            <w:r>
              <w:rPr>
                <w:rFonts w:ascii="Arial" w:eastAsia="Arial" w:hAnsi="Arial" w:cs="Arial"/>
                <w:sz w:val="22"/>
                <w:szCs w:val="22"/>
                <w:highlight w:val="white"/>
              </w:rPr>
              <w:t xml:space="preserve"> (indigenous Fijian), she is passionate about telling the stories of local communities. Her research focuses on coconut agribusiness and its contribution to rural development. </w:t>
            </w:r>
          </w:p>
          <w:p w14:paraId="300EED09" w14:textId="77777777" w:rsidR="00E95E6E" w:rsidRDefault="00E95E6E">
            <w:pPr>
              <w:rPr>
                <w:rFonts w:ascii="Arial" w:eastAsia="Arial" w:hAnsi="Arial" w:cs="Arial"/>
                <w:b/>
                <w:sz w:val="22"/>
                <w:szCs w:val="22"/>
              </w:rPr>
            </w:pPr>
          </w:p>
          <w:p w14:paraId="1EFDFA07" w14:textId="77777777" w:rsidR="00E95E6E" w:rsidRDefault="00E10F2A">
            <w:pPr>
              <w:rPr>
                <w:rFonts w:ascii="Arial" w:eastAsia="Arial" w:hAnsi="Arial" w:cs="Arial"/>
                <w:b/>
                <w:sz w:val="22"/>
                <w:szCs w:val="22"/>
                <w:u w:val="single"/>
              </w:rPr>
            </w:pPr>
            <w:r>
              <w:rPr>
                <w:rFonts w:ascii="Arial" w:eastAsia="Arial" w:hAnsi="Arial" w:cs="Arial"/>
                <w:b/>
                <w:sz w:val="22"/>
                <w:szCs w:val="22"/>
                <w:u w:val="single"/>
              </w:rPr>
              <w:t>Panellist 1</w:t>
            </w:r>
          </w:p>
          <w:p w14:paraId="106D97F1" w14:textId="77777777" w:rsidR="00E95E6E" w:rsidRDefault="00E10F2A">
            <w:pPr>
              <w:rPr>
                <w:rFonts w:ascii="Arial" w:eastAsia="Arial" w:hAnsi="Arial" w:cs="Arial"/>
                <w:b/>
                <w:sz w:val="22"/>
                <w:szCs w:val="22"/>
              </w:rPr>
            </w:pPr>
            <w:r>
              <w:rPr>
                <w:rFonts w:ascii="Arial" w:eastAsia="Arial" w:hAnsi="Arial" w:cs="Arial"/>
                <w:b/>
                <w:sz w:val="22"/>
                <w:szCs w:val="22"/>
              </w:rPr>
              <w:t xml:space="preserve">Full Name: </w:t>
            </w:r>
            <w:r>
              <w:rPr>
                <w:rFonts w:ascii="Arial" w:eastAsia="Arial" w:hAnsi="Arial" w:cs="Arial"/>
                <w:sz w:val="22"/>
                <w:szCs w:val="22"/>
              </w:rPr>
              <w:t>Lauren Turner</w:t>
            </w:r>
          </w:p>
          <w:p w14:paraId="576AB145" w14:textId="77777777" w:rsidR="00E95E6E" w:rsidRDefault="00E10F2A">
            <w:pPr>
              <w:rPr>
                <w:rFonts w:ascii="Arial" w:eastAsia="Arial" w:hAnsi="Arial" w:cs="Arial"/>
                <w:b/>
                <w:sz w:val="22"/>
                <w:szCs w:val="22"/>
              </w:rPr>
            </w:pPr>
            <w:bookmarkStart w:id="1" w:name="_heading=h.30j0zll" w:colFirst="0" w:colLast="0"/>
            <w:bookmarkEnd w:id="1"/>
            <w:r>
              <w:rPr>
                <w:rFonts w:ascii="Arial" w:eastAsia="Arial" w:hAnsi="Arial" w:cs="Arial"/>
                <w:b/>
                <w:sz w:val="22"/>
                <w:szCs w:val="22"/>
              </w:rPr>
              <w:t xml:space="preserve">Organisation: </w:t>
            </w:r>
            <w:r>
              <w:rPr>
                <w:rFonts w:ascii="Arial" w:eastAsia="Arial" w:hAnsi="Arial" w:cs="Arial"/>
                <w:sz w:val="22"/>
                <w:szCs w:val="22"/>
              </w:rPr>
              <w:t>Te Puna Vai Mārama | The Cook Islands Centre for Research (TPVM)</w:t>
            </w:r>
          </w:p>
          <w:p w14:paraId="331F912A" w14:textId="22965A9E" w:rsidR="00E95E6E" w:rsidRDefault="00E10F2A">
            <w:pPr>
              <w:rPr>
                <w:rFonts w:ascii="Arial" w:eastAsia="Arial" w:hAnsi="Arial" w:cs="Arial"/>
                <w:b/>
                <w:sz w:val="22"/>
                <w:szCs w:val="22"/>
              </w:rPr>
            </w:pPr>
            <w:r>
              <w:rPr>
                <w:rFonts w:ascii="Arial" w:eastAsia="Arial" w:hAnsi="Arial" w:cs="Arial"/>
                <w:b/>
                <w:sz w:val="22"/>
                <w:szCs w:val="22"/>
              </w:rPr>
              <w:t>Bio</w:t>
            </w:r>
            <w:r w:rsidR="00B64B22">
              <w:rPr>
                <w:rFonts w:ascii="Arial" w:eastAsia="Arial" w:hAnsi="Arial" w:cs="Arial"/>
                <w:b/>
                <w:sz w:val="22"/>
                <w:szCs w:val="22"/>
              </w:rPr>
              <w:t>:</w:t>
            </w:r>
          </w:p>
          <w:p w14:paraId="5D10BDB7" w14:textId="77777777" w:rsidR="00E95E6E" w:rsidRDefault="00E10F2A">
            <w:pPr>
              <w:rPr>
                <w:rFonts w:ascii="Arial" w:eastAsia="Arial" w:hAnsi="Arial" w:cs="Arial"/>
                <w:sz w:val="22"/>
                <w:szCs w:val="22"/>
              </w:rPr>
            </w:pPr>
            <w:r>
              <w:rPr>
                <w:rFonts w:ascii="Arial" w:eastAsia="Arial" w:hAnsi="Arial" w:cs="Arial"/>
                <w:sz w:val="22"/>
                <w:szCs w:val="22"/>
              </w:rPr>
              <w:t>Lauren has a broad range of interests and experience in social science research. She has a Masters in Sustainable Development from Massey University, and is proficient in both qualitative and quantitative methods. As a research fellow at TPVM, she co-led the survey design and data analysis for the RRA study.</w:t>
            </w:r>
          </w:p>
          <w:p w14:paraId="664AFDEE" w14:textId="77777777" w:rsidR="00E95E6E" w:rsidRDefault="00E95E6E">
            <w:pPr>
              <w:rPr>
                <w:rFonts w:ascii="Arial" w:eastAsia="Arial" w:hAnsi="Arial" w:cs="Arial"/>
                <w:sz w:val="22"/>
                <w:szCs w:val="22"/>
              </w:rPr>
            </w:pPr>
          </w:p>
          <w:p w14:paraId="65FC753E" w14:textId="7D1F1FE9" w:rsidR="00E95E6E" w:rsidRDefault="00E10F2A">
            <w:pPr>
              <w:rPr>
                <w:rFonts w:ascii="Arial" w:eastAsia="Arial" w:hAnsi="Arial" w:cs="Arial"/>
                <w:b/>
                <w:sz w:val="22"/>
                <w:szCs w:val="22"/>
              </w:rPr>
            </w:pPr>
            <w:r>
              <w:rPr>
                <w:rFonts w:ascii="Arial" w:eastAsia="Arial" w:hAnsi="Arial" w:cs="Arial"/>
                <w:b/>
                <w:sz w:val="22"/>
                <w:szCs w:val="22"/>
              </w:rPr>
              <w:t>Presentation 1</w:t>
            </w:r>
          </w:p>
          <w:p w14:paraId="212AA6F0" w14:textId="77777777" w:rsidR="00E95E6E" w:rsidRDefault="00E10F2A">
            <w:pPr>
              <w:rPr>
                <w:rFonts w:ascii="Arial" w:eastAsia="Arial" w:hAnsi="Arial" w:cs="Arial"/>
                <w:sz w:val="22"/>
                <w:szCs w:val="22"/>
              </w:rPr>
            </w:pPr>
            <w:r>
              <w:rPr>
                <w:rFonts w:ascii="Arial" w:eastAsia="Arial" w:hAnsi="Arial" w:cs="Arial"/>
                <w:sz w:val="22"/>
                <w:szCs w:val="22"/>
              </w:rPr>
              <w:lastRenderedPageBreak/>
              <w:t>Analysis of climate adaptation methods adopted by farmers in Rarotonga, Cook Islands</w:t>
            </w:r>
          </w:p>
          <w:p w14:paraId="7C530FBD" w14:textId="77777777" w:rsidR="00E95E6E" w:rsidRDefault="00E10F2A">
            <w:pPr>
              <w:rPr>
                <w:rFonts w:ascii="Arial" w:eastAsia="Arial" w:hAnsi="Arial" w:cs="Arial"/>
                <w:b/>
                <w:sz w:val="22"/>
                <w:szCs w:val="22"/>
              </w:rPr>
            </w:pPr>
            <w:r>
              <w:rPr>
                <w:rFonts w:ascii="Arial" w:eastAsia="Arial" w:hAnsi="Arial" w:cs="Arial"/>
                <w:sz w:val="22"/>
                <w:szCs w:val="22"/>
              </w:rPr>
              <w:t xml:space="preserve"> </w:t>
            </w:r>
          </w:p>
          <w:p w14:paraId="198FBB9A" w14:textId="77777777" w:rsidR="00E95E6E" w:rsidRDefault="00E10F2A">
            <w:pPr>
              <w:rPr>
                <w:rFonts w:ascii="Arial" w:eastAsia="Arial" w:hAnsi="Arial" w:cs="Arial"/>
                <w:b/>
                <w:sz w:val="22"/>
                <w:szCs w:val="22"/>
              </w:rPr>
            </w:pPr>
            <w:r>
              <w:rPr>
                <w:rFonts w:ascii="Arial" w:eastAsia="Arial" w:hAnsi="Arial" w:cs="Arial"/>
                <w:b/>
                <w:sz w:val="22"/>
                <w:szCs w:val="22"/>
              </w:rPr>
              <w:t>Panellist 1 Contribution:</w:t>
            </w:r>
            <w:r>
              <w:rPr>
                <w:rFonts w:ascii="Arial" w:eastAsia="Arial" w:hAnsi="Arial" w:cs="Arial"/>
                <w:sz w:val="22"/>
                <w:szCs w:val="22"/>
              </w:rPr>
              <w:t xml:space="preserve"> </w:t>
            </w:r>
          </w:p>
          <w:p w14:paraId="3A1CB2D3" w14:textId="77777777" w:rsidR="00E95E6E" w:rsidRDefault="00E10F2A">
            <w:pPr>
              <w:rPr>
                <w:rFonts w:ascii="Arial" w:eastAsia="Arial" w:hAnsi="Arial" w:cs="Arial"/>
                <w:b/>
                <w:sz w:val="22"/>
                <w:szCs w:val="22"/>
              </w:rPr>
            </w:pPr>
            <w:r>
              <w:rPr>
                <w:rFonts w:ascii="Arial" w:eastAsia="Arial" w:hAnsi="Arial" w:cs="Arial"/>
                <w:sz w:val="22"/>
                <w:szCs w:val="22"/>
              </w:rPr>
              <w:t xml:space="preserve">To ensure the sustainability of food production in the Cook Islands, local farmers must be able to adapt their farming practices to suit changing climates. This study sought to understand the changes in climate that farmers in Rarotonga, Cook Islands, were experiencing, the methods used to adapt to these, as well as the barriers hindering their ability to adapt. The results will be outlined in this presentation, while the implications of this research will be discussed by the following panellist. A random sample of </w:t>
            </w:r>
            <w:r w:rsidR="000F5579" w:rsidRPr="00876440">
              <w:rPr>
                <w:rFonts w:ascii="Arial" w:eastAsia="Arial" w:hAnsi="Arial" w:cs="Arial"/>
                <w:sz w:val="22"/>
                <w:szCs w:val="22"/>
              </w:rPr>
              <w:t>1</w:t>
            </w:r>
            <w:r w:rsidRPr="00876440">
              <w:rPr>
                <w:rFonts w:ascii="Arial" w:eastAsia="Arial" w:hAnsi="Arial" w:cs="Arial"/>
                <w:sz w:val="22"/>
                <w:szCs w:val="22"/>
              </w:rPr>
              <w:t>74</w:t>
            </w:r>
            <w:r>
              <w:rPr>
                <w:rFonts w:ascii="Arial" w:eastAsia="Arial" w:hAnsi="Arial" w:cs="Arial"/>
                <w:sz w:val="22"/>
                <w:szCs w:val="22"/>
              </w:rPr>
              <w:t xml:space="preserve"> farmers and crop growers were surveyed across August-September 2024 by the research team, which included researchers from Te Puna Vai Mārama | The Cook Islands Centre for Research, as well as enumerators from the Cook Islands Ministry of Agriculture. Descriptive and bivariate analysis were employed. Overall, farmers reported experiencing inconsistent rainfall, increasing temperatures, and more frequent droughts. Most farmers (88%) had used at least one adaptation method in response to changing climatic patterns, while 12% had not made any adaptations despite perceiving similar changes to climatic patterns as those who adapted, suggesting awareness of climatic change does not necessarily translate into action. Farmers were more likely to adapt in response to increasing drought conditions than other climatic elements. Few farmers had modified their crop selection as an adaptation strategy, preferring to adapt through crop and soil management methods such as crop rotation, mulching, and composting. Furthermore, contrary to other research, there were found to be no demographic factors influencing farmers’ likelihood of adapting. </w:t>
            </w:r>
          </w:p>
          <w:p w14:paraId="7A05251C" w14:textId="77777777" w:rsidR="00E95E6E" w:rsidRDefault="00E95E6E">
            <w:pPr>
              <w:rPr>
                <w:rFonts w:ascii="Arial" w:eastAsia="Arial" w:hAnsi="Arial" w:cs="Arial"/>
                <w:sz w:val="22"/>
                <w:szCs w:val="22"/>
              </w:rPr>
            </w:pPr>
          </w:p>
          <w:p w14:paraId="326DA8EC" w14:textId="77777777" w:rsidR="00E95E6E" w:rsidRDefault="00E10F2A">
            <w:pPr>
              <w:rPr>
                <w:rFonts w:ascii="Arial" w:eastAsia="Arial" w:hAnsi="Arial" w:cs="Arial"/>
                <w:b/>
                <w:sz w:val="22"/>
                <w:szCs w:val="22"/>
                <w:u w:val="single"/>
              </w:rPr>
            </w:pPr>
            <w:r>
              <w:rPr>
                <w:rFonts w:ascii="Arial" w:eastAsia="Arial" w:hAnsi="Arial" w:cs="Arial"/>
                <w:b/>
                <w:sz w:val="22"/>
                <w:szCs w:val="22"/>
                <w:u w:val="single"/>
              </w:rPr>
              <w:t>Panellist 2</w:t>
            </w:r>
          </w:p>
          <w:p w14:paraId="33F6220D" w14:textId="77777777" w:rsidR="00E95E6E" w:rsidRDefault="00E10F2A">
            <w:pPr>
              <w:rPr>
                <w:rFonts w:ascii="Arial" w:eastAsia="Arial" w:hAnsi="Arial" w:cs="Arial"/>
                <w:b/>
                <w:sz w:val="22"/>
                <w:szCs w:val="22"/>
              </w:rPr>
            </w:pPr>
            <w:r>
              <w:rPr>
                <w:rFonts w:ascii="Arial" w:eastAsia="Arial" w:hAnsi="Arial" w:cs="Arial"/>
                <w:b/>
                <w:sz w:val="22"/>
                <w:szCs w:val="22"/>
              </w:rPr>
              <w:t xml:space="preserve">Full Name: </w:t>
            </w:r>
            <w:r>
              <w:rPr>
                <w:rFonts w:ascii="Arial" w:eastAsia="Arial" w:hAnsi="Arial" w:cs="Arial"/>
                <w:sz w:val="22"/>
                <w:szCs w:val="22"/>
              </w:rPr>
              <w:t xml:space="preserve">Selane </w:t>
            </w:r>
            <w:proofErr w:type="spellStart"/>
            <w:r>
              <w:rPr>
                <w:rFonts w:ascii="Arial" w:eastAsia="Arial" w:hAnsi="Arial" w:cs="Arial"/>
                <w:sz w:val="22"/>
                <w:szCs w:val="22"/>
              </w:rPr>
              <w:t>Tairea</w:t>
            </w:r>
            <w:proofErr w:type="spellEnd"/>
          </w:p>
          <w:p w14:paraId="04852F08" w14:textId="77777777" w:rsidR="00E95E6E" w:rsidRDefault="00E10F2A">
            <w:pPr>
              <w:rPr>
                <w:rFonts w:ascii="Arial" w:eastAsia="Arial" w:hAnsi="Arial" w:cs="Arial"/>
                <w:b/>
                <w:sz w:val="22"/>
                <w:szCs w:val="22"/>
              </w:rPr>
            </w:pPr>
            <w:r>
              <w:rPr>
                <w:rFonts w:ascii="Arial" w:eastAsia="Arial" w:hAnsi="Arial" w:cs="Arial"/>
                <w:b/>
                <w:sz w:val="22"/>
                <w:szCs w:val="22"/>
              </w:rPr>
              <w:t xml:space="preserve">Organisation: </w:t>
            </w:r>
            <w:r>
              <w:rPr>
                <w:rFonts w:ascii="Arial" w:eastAsia="Arial" w:hAnsi="Arial" w:cs="Arial"/>
                <w:sz w:val="22"/>
                <w:szCs w:val="22"/>
              </w:rPr>
              <w:t>Te Puna Vai Mārama | The Cook Islands Centre for Research (TPVM)</w:t>
            </w:r>
          </w:p>
          <w:p w14:paraId="40D20986" w14:textId="77777777" w:rsidR="00B64B22" w:rsidRDefault="00E10F2A">
            <w:pPr>
              <w:rPr>
                <w:rFonts w:ascii="Arial" w:eastAsia="Arial" w:hAnsi="Arial" w:cs="Arial"/>
                <w:b/>
                <w:sz w:val="22"/>
                <w:szCs w:val="22"/>
              </w:rPr>
            </w:pPr>
            <w:r>
              <w:rPr>
                <w:rFonts w:ascii="Arial" w:eastAsia="Arial" w:hAnsi="Arial" w:cs="Arial"/>
                <w:b/>
                <w:sz w:val="22"/>
                <w:szCs w:val="22"/>
              </w:rPr>
              <w:t>Bio</w:t>
            </w:r>
            <w:r w:rsidR="00B64B22">
              <w:rPr>
                <w:rFonts w:ascii="Arial" w:eastAsia="Arial" w:hAnsi="Arial" w:cs="Arial"/>
                <w:b/>
                <w:sz w:val="22"/>
                <w:szCs w:val="22"/>
              </w:rPr>
              <w:t>:</w:t>
            </w:r>
          </w:p>
          <w:p w14:paraId="725CE194" w14:textId="02CB002A" w:rsidR="00E95E6E" w:rsidRDefault="00E10F2A">
            <w:pPr>
              <w:rPr>
                <w:rFonts w:ascii="Arial" w:eastAsia="Arial" w:hAnsi="Arial" w:cs="Arial"/>
                <w:b/>
                <w:sz w:val="22"/>
                <w:szCs w:val="22"/>
              </w:rPr>
            </w:pPr>
            <w:r>
              <w:rPr>
                <w:rFonts w:ascii="Arial" w:eastAsia="Arial" w:hAnsi="Arial" w:cs="Arial"/>
                <w:sz w:val="22"/>
                <w:szCs w:val="22"/>
              </w:rPr>
              <w:t xml:space="preserve">Selane is a graduate of Victoria University with a Bachelor of Science majoring in psychology with a Postgraduate Diploma in Psychology. She has experience working in statistics, particularly in survey development, and data collection and management. She is currently a research officer and junior statistician at TPVM, specialising in quantitative analysis and community partnerships. </w:t>
            </w:r>
          </w:p>
          <w:p w14:paraId="7046E353" w14:textId="77777777" w:rsidR="00E95E6E" w:rsidRDefault="00E95E6E">
            <w:pPr>
              <w:rPr>
                <w:rFonts w:ascii="Arial" w:eastAsia="Arial" w:hAnsi="Arial" w:cs="Arial"/>
                <w:b/>
                <w:sz w:val="22"/>
                <w:szCs w:val="22"/>
              </w:rPr>
            </w:pPr>
          </w:p>
          <w:p w14:paraId="6A8BCB08" w14:textId="54C43159" w:rsidR="00E95E6E" w:rsidRDefault="00E10F2A">
            <w:pPr>
              <w:rPr>
                <w:rFonts w:ascii="Arial" w:eastAsia="Arial" w:hAnsi="Arial" w:cs="Arial"/>
                <w:b/>
                <w:sz w:val="22"/>
                <w:szCs w:val="22"/>
              </w:rPr>
            </w:pPr>
            <w:r>
              <w:rPr>
                <w:rFonts w:ascii="Arial" w:eastAsia="Arial" w:hAnsi="Arial" w:cs="Arial"/>
                <w:b/>
                <w:sz w:val="22"/>
                <w:szCs w:val="22"/>
              </w:rPr>
              <w:t>Presentation 2</w:t>
            </w:r>
          </w:p>
          <w:p w14:paraId="0FF8D0B2" w14:textId="77777777" w:rsidR="00E95E6E" w:rsidRDefault="00E10F2A">
            <w:pPr>
              <w:rPr>
                <w:rFonts w:ascii="Arial" w:eastAsia="Arial" w:hAnsi="Arial" w:cs="Arial"/>
                <w:sz w:val="22"/>
                <w:szCs w:val="22"/>
              </w:rPr>
            </w:pPr>
            <w:r>
              <w:rPr>
                <w:rFonts w:ascii="Arial" w:eastAsia="Arial" w:hAnsi="Arial" w:cs="Arial"/>
                <w:sz w:val="22"/>
                <w:szCs w:val="22"/>
              </w:rPr>
              <w:t>Practical implications of the farmers climate adaptation study for the Cook Islands context.</w:t>
            </w:r>
          </w:p>
          <w:p w14:paraId="576AE786" w14:textId="77777777" w:rsidR="00E95E6E" w:rsidRDefault="00E95E6E">
            <w:pPr>
              <w:rPr>
                <w:rFonts w:ascii="Arial" w:eastAsia="Arial" w:hAnsi="Arial" w:cs="Arial"/>
                <w:b/>
                <w:sz w:val="22"/>
                <w:szCs w:val="22"/>
              </w:rPr>
            </w:pPr>
          </w:p>
          <w:p w14:paraId="3B40D5A0" w14:textId="05A601BF" w:rsidR="00E95E6E" w:rsidRDefault="00E10F2A">
            <w:pPr>
              <w:rPr>
                <w:rFonts w:ascii="Arial" w:eastAsia="Arial" w:hAnsi="Arial" w:cs="Arial"/>
                <w:b/>
                <w:sz w:val="22"/>
                <w:szCs w:val="22"/>
              </w:rPr>
            </w:pPr>
            <w:r>
              <w:rPr>
                <w:rFonts w:ascii="Arial" w:eastAsia="Arial" w:hAnsi="Arial" w:cs="Arial"/>
                <w:b/>
                <w:sz w:val="22"/>
                <w:szCs w:val="22"/>
              </w:rPr>
              <w:t>Panellist 2 Contribution:</w:t>
            </w:r>
            <w:r>
              <w:rPr>
                <w:rFonts w:ascii="Arial" w:eastAsia="Arial" w:hAnsi="Arial" w:cs="Arial"/>
                <w:sz w:val="22"/>
                <w:szCs w:val="22"/>
              </w:rPr>
              <w:t xml:space="preserve"> </w:t>
            </w:r>
          </w:p>
          <w:p w14:paraId="41501BB7" w14:textId="77777777" w:rsidR="00E95E6E" w:rsidRDefault="00E10F2A">
            <w:pPr>
              <w:rPr>
                <w:rFonts w:ascii="Arial" w:eastAsia="Arial" w:hAnsi="Arial" w:cs="Arial"/>
                <w:b/>
                <w:sz w:val="22"/>
                <w:szCs w:val="22"/>
              </w:rPr>
            </w:pPr>
            <w:r>
              <w:rPr>
                <w:rFonts w:ascii="Arial" w:eastAsia="Arial" w:hAnsi="Arial" w:cs="Arial"/>
                <w:sz w:val="22"/>
                <w:szCs w:val="22"/>
              </w:rPr>
              <w:t xml:space="preserve">Following on from the previous presentation, this presentation will describe the barriers to adaptation identified by the same study conducted in Rarotonga, Cook Islands, and explore the implications for the Cook Islands context. Lack of government support and limited access to agricultural resources were found to be the most significant barriers for farmers to adapt to changing climates. Perceptions of barriers varied significantly, particularly based on access to external financing, education level, and farm type (commercial vs. subsistence). The findings from this research point to a need for targeted intervention, particularly in educational support and resource distribution. As a product of this research, workshops have been arranged by the Cook Islands Ministry of Agriculture for the local farming community, targeting needs </w:t>
            </w:r>
            <w:r>
              <w:rPr>
                <w:rFonts w:ascii="Arial" w:eastAsia="Arial" w:hAnsi="Arial" w:cs="Arial"/>
                <w:sz w:val="22"/>
                <w:szCs w:val="22"/>
              </w:rPr>
              <w:lastRenderedPageBreak/>
              <w:t>identified by this research. These workshops serve as a direct response to the research findings, demonstrating a practical link between research, policy and on-the-ground action. This presentation will conclude by describing these practical outputs, emphasizing the importance of collaboration between farmers, researchers, and policymakers to ensure that solutions are grounded in local realities.</w:t>
            </w:r>
          </w:p>
          <w:p w14:paraId="394404FC" w14:textId="77777777" w:rsidR="00E95E6E" w:rsidRDefault="00E95E6E">
            <w:pPr>
              <w:rPr>
                <w:rFonts w:ascii="Arial" w:eastAsia="Arial" w:hAnsi="Arial" w:cs="Arial"/>
                <w:b/>
                <w:sz w:val="22"/>
                <w:szCs w:val="22"/>
              </w:rPr>
            </w:pPr>
          </w:p>
          <w:p w14:paraId="018018A8" w14:textId="77777777" w:rsidR="00E95E6E" w:rsidRDefault="00E10F2A">
            <w:pPr>
              <w:rPr>
                <w:rFonts w:ascii="Arial" w:eastAsia="Arial" w:hAnsi="Arial" w:cs="Arial"/>
                <w:b/>
                <w:sz w:val="22"/>
                <w:szCs w:val="22"/>
                <w:u w:val="single"/>
              </w:rPr>
            </w:pPr>
            <w:r>
              <w:rPr>
                <w:rFonts w:ascii="Arial" w:eastAsia="Arial" w:hAnsi="Arial" w:cs="Arial"/>
                <w:b/>
                <w:sz w:val="22"/>
                <w:szCs w:val="22"/>
                <w:u w:val="single"/>
              </w:rPr>
              <w:t>Panellist 3</w:t>
            </w:r>
          </w:p>
          <w:p w14:paraId="2A3EA818" w14:textId="77777777" w:rsidR="00E95E6E" w:rsidRDefault="00E10F2A">
            <w:pPr>
              <w:rPr>
                <w:rFonts w:ascii="Arial" w:eastAsia="Arial" w:hAnsi="Arial" w:cs="Arial"/>
                <w:b/>
                <w:sz w:val="22"/>
                <w:szCs w:val="22"/>
              </w:rPr>
            </w:pPr>
            <w:r>
              <w:rPr>
                <w:rFonts w:ascii="Arial" w:eastAsia="Arial" w:hAnsi="Arial" w:cs="Arial"/>
                <w:b/>
                <w:sz w:val="22"/>
                <w:szCs w:val="22"/>
              </w:rPr>
              <w:t xml:space="preserve">Full Name: </w:t>
            </w:r>
            <w:proofErr w:type="spellStart"/>
            <w:r>
              <w:rPr>
                <w:rFonts w:ascii="Arial" w:eastAsia="Arial" w:hAnsi="Arial" w:cs="Arial"/>
                <w:sz w:val="22"/>
                <w:szCs w:val="22"/>
              </w:rPr>
              <w:t>Brenoki</w:t>
            </w:r>
            <w:proofErr w:type="spellEnd"/>
            <w:r>
              <w:rPr>
                <w:rFonts w:ascii="Arial" w:eastAsia="Arial" w:hAnsi="Arial" w:cs="Arial"/>
                <w:sz w:val="22"/>
                <w:szCs w:val="22"/>
              </w:rPr>
              <w:t xml:space="preserve"> Limen</w:t>
            </w:r>
            <w:r>
              <w:rPr>
                <w:rFonts w:ascii="Arial" w:eastAsia="Arial" w:hAnsi="Arial" w:cs="Arial"/>
                <w:b/>
                <w:sz w:val="22"/>
                <w:szCs w:val="22"/>
              </w:rPr>
              <w:t xml:space="preserve"> </w:t>
            </w:r>
          </w:p>
          <w:p w14:paraId="40C36A00" w14:textId="77777777" w:rsidR="00E95E6E" w:rsidRDefault="00E10F2A">
            <w:pPr>
              <w:rPr>
                <w:rFonts w:ascii="Arial" w:eastAsia="Arial" w:hAnsi="Arial" w:cs="Arial"/>
                <w:sz w:val="22"/>
                <w:szCs w:val="22"/>
              </w:rPr>
            </w:pPr>
            <w:r>
              <w:rPr>
                <w:rFonts w:ascii="Arial" w:eastAsia="Arial" w:hAnsi="Arial" w:cs="Arial"/>
                <w:b/>
                <w:sz w:val="22"/>
                <w:szCs w:val="22"/>
              </w:rPr>
              <w:t xml:space="preserve">Organisation: </w:t>
            </w:r>
            <w:r>
              <w:rPr>
                <w:rFonts w:ascii="Arial" w:eastAsia="Arial" w:hAnsi="Arial" w:cs="Arial"/>
                <w:sz w:val="22"/>
                <w:szCs w:val="22"/>
              </w:rPr>
              <w:t xml:space="preserve">Republic of Nauru: </w:t>
            </w:r>
            <w:r>
              <w:rPr>
                <w:rFonts w:ascii="Arial" w:eastAsia="Arial" w:hAnsi="Arial" w:cs="Arial"/>
                <w:sz w:val="22"/>
                <w:szCs w:val="22"/>
                <w:highlight w:val="white"/>
              </w:rPr>
              <w:t>Department of Environmental Management &amp; Agriculture </w:t>
            </w:r>
          </w:p>
          <w:p w14:paraId="23C659B5" w14:textId="43B9D4F0" w:rsidR="00E95E6E" w:rsidRDefault="00E10F2A">
            <w:pPr>
              <w:rPr>
                <w:rFonts w:ascii="Arial" w:eastAsia="Arial" w:hAnsi="Arial" w:cs="Arial"/>
                <w:b/>
                <w:sz w:val="22"/>
                <w:szCs w:val="22"/>
              </w:rPr>
            </w:pPr>
            <w:r>
              <w:rPr>
                <w:rFonts w:ascii="Arial" w:eastAsia="Arial" w:hAnsi="Arial" w:cs="Arial"/>
                <w:b/>
                <w:sz w:val="22"/>
                <w:szCs w:val="22"/>
              </w:rPr>
              <w:t>Bio</w:t>
            </w:r>
            <w:r w:rsidR="00B64B22">
              <w:rPr>
                <w:rFonts w:ascii="Arial" w:eastAsia="Arial" w:hAnsi="Arial" w:cs="Arial"/>
                <w:b/>
                <w:sz w:val="22"/>
                <w:szCs w:val="22"/>
              </w:rPr>
              <w:t>:</w:t>
            </w:r>
          </w:p>
          <w:p w14:paraId="0B6C2C81" w14:textId="77777777" w:rsidR="00E95E6E" w:rsidRDefault="00E10F2A">
            <w:pPr>
              <w:rPr>
                <w:rFonts w:ascii="Arial" w:eastAsia="Arial" w:hAnsi="Arial" w:cs="Arial"/>
                <w:b/>
                <w:sz w:val="22"/>
                <w:szCs w:val="22"/>
              </w:rPr>
            </w:pPr>
            <w:proofErr w:type="spellStart"/>
            <w:r>
              <w:rPr>
                <w:rFonts w:ascii="Arial" w:eastAsia="Arial" w:hAnsi="Arial" w:cs="Arial"/>
                <w:sz w:val="22"/>
                <w:szCs w:val="22"/>
              </w:rPr>
              <w:t>Brenoki</w:t>
            </w:r>
            <w:proofErr w:type="spellEnd"/>
            <w:r>
              <w:rPr>
                <w:rFonts w:ascii="Arial" w:eastAsia="Arial" w:hAnsi="Arial" w:cs="Arial"/>
                <w:sz w:val="22"/>
                <w:szCs w:val="22"/>
              </w:rPr>
              <w:t xml:space="preserve"> is project manager at the Nauru Department of Environmental Management &amp; Agriculture, dedicated to furthering his expertise in the agricultural industry. With a background in computer science and an eye for detail, </w:t>
            </w:r>
            <w:proofErr w:type="spellStart"/>
            <w:r>
              <w:rPr>
                <w:rFonts w:ascii="Arial" w:eastAsia="Arial" w:hAnsi="Arial" w:cs="Arial"/>
                <w:sz w:val="22"/>
                <w:szCs w:val="22"/>
              </w:rPr>
              <w:t>Brenoki</w:t>
            </w:r>
            <w:proofErr w:type="spellEnd"/>
            <w:r>
              <w:rPr>
                <w:rFonts w:ascii="Arial" w:eastAsia="Arial" w:hAnsi="Arial" w:cs="Arial"/>
                <w:sz w:val="22"/>
                <w:szCs w:val="22"/>
              </w:rPr>
              <w:t xml:space="preserve"> excels in designing innovative solutions to complex challenges. He was a peer reviewer for the RRA.</w:t>
            </w:r>
          </w:p>
          <w:p w14:paraId="4FF409BC" w14:textId="77777777" w:rsidR="00E95E6E" w:rsidRDefault="00E95E6E">
            <w:pPr>
              <w:rPr>
                <w:rFonts w:ascii="Arial" w:eastAsia="Arial" w:hAnsi="Arial" w:cs="Arial"/>
                <w:b/>
                <w:sz w:val="22"/>
                <w:szCs w:val="22"/>
              </w:rPr>
            </w:pPr>
          </w:p>
          <w:p w14:paraId="602645F7" w14:textId="4B2AC31E" w:rsidR="00E95E6E" w:rsidRDefault="00E10F2A">
            <w:pPr>
              <w:rPr>
                <w:rFonts w:ascii="Arial" w:eastAsia="Arial" w:hAnsi="Arial" w:cs="Arial"/>
                <w:b/>
                <w:sz w:val="22"/>
                <w:szCs w:val="22"/>
              </w:rPr>
            </w:pPr>
            <w:r>
              <w:rPr>
                <w:rFonts w:ascii="Arial" w:eastAsia="Arial" w:hAnsi="Arial" w:cs="Arial"/>
                <w:b/>
                <w:sz w:val="22"/>
                <w:szCs w:val="22"/>
              </w:rPr>
              <w:t>Presentation 3</w:t>
            </w:r>
          </w:p>
          <w:p w14:paraId="3756F850" w14:textId="77777777" w:rsidR="00E95E6E" w:rsidRDefault="00E10F2A">
            <w:pPr>
              <w:rPr>
                <w:rFonts w:ascii="Arial" w:eastAsia="Arial" w:hAnsi="Arial" w:cs="Arial"/>
                <w:b/>
                <w:sz w:val="22"/>
                <w:szCs w:val="22"/>
              </w:rPr>
            </w:pPr>
            <w:r>
              <w:rPr>
                <w:rFonts w:ascii="Arial" w:eastAsia="Arial" w:hAnsi="Arial" w:cs="Arial"/>
                <w:sz w:val="22"/>
                <w:szCs w:val="22"/>
              </w:rPr>
              <w:t>Nauruan Farmers’ Perceptions of Government Support for Resources and Guidance</w:t>
            </w:r>
          </w:p>
          <w:p w14:paraId="1E80D7E7" w14:textId="77777777" w:rsidR="00E95E6E" w:rsidRDefault="00E95E6E">
            <w:pPr>
              <w:rPr>
                <w:rFonts w:ascii="Arial" w:eastAsia="Arial" w:hAnsi="Arial" w:cs="Arial"/>
                <w:b/>
                <w:sz w:val="22"/>
                <w:szCs w:val="22"/>
              </w:rPr>
            </w:pPr>
          </w:p>
          <w:p w14:paraId="4FE76D4B" w14:textId="19381E81" w:rsidR="00E95E6E" w:rsidRDefault="00E10F2A">
            <w:pPr>
              <w:rPr>
                <w:rFonts w:ascii="Arial" w:eastAsia="Arial" w:hAnsi="Arial" w:cs="Arial"/>
                <w:sz w:val="22"/>
                <w:szCs w:val="22"/>
              </w:rPr>
            </w:pPr>
            <w:r>
              <w:rPr>
                <w:rFonts w:ascii="Arial" w:eastAsia="Arial" w:hAnsi="Arial" w:cs="Arial"/>
                <w:b/>
                <w:sz w:val="22"/>
                <w:szCs w:val="22"/>
              </w:rPr>
              <w:t>Panellist 3 Contribution:</w:t>
            </w:r>
            <w:r>
              <w:rPr>
                <w:rFonts w:ascii="Arial" w:eastAsia="Arial" w:hAnsi="Arial" w:cs="Arial"/>
                <w:sz w:val="22"/>
                <w:szCs w:val="22"/>
              </w:rPr>
              <w:t xml:space="preserve"> </w:t>
            </w:r>
          </w:p>
          <w:p w14:paraId="7C58AECF" w14:textId="77777777" w:rsidR="00E95E6E" w:rsidRDefault="00E95E6E">
            <w:pPr>
              <w:rPr>
                <w:rFonts w:ascii="Arial" w:eastAsia="Arial" w:hAnsi="Arial" w:cs="Arial"/>
                <w:b/>
                <w:sz w:val="22"/>
                <w:szCs w:val="22"/>
              </w:rPr>
            </w:pPr>
          </w:p>
          <w:p w14:paraId="71372FDC" w14:textId="77777777" w:rsidR="00E95E6E" w:rsidRDefault="00E10F2A">
            <w:pPr>
              <w:rPr>
                <w:rFonts w:ascii="Arial" w:eastAsia="Arial" w:hAnsi="Arial" w:cs="Arial"/>
                <w:sz w:val="22"/>
                <w:szCs w:val="22"/>
              </w:rPr>
            </w:pPr>
            <w:r>
              <w:rPr>
                <w:rFonts w:ascii="Arial" w:eastAsia="Arial" w:hAnsi="Arial" w:cs="Arial"/>
                <w:sz w:val="22"/>
                <w:szCs w:val="22"/>
              </w:rPr>
              <w:t>Food security in Nauru heavily depends on the resilience and productivity of local farmers. This study aimed to explore the challenges faced by farmers, their adaptation strategies to climate change, and their perceptions of government support. Data was collected using surveys administered during the World Food Day event, targeting 25 active farmers in Nauru. The findings revealed mixed perceptions of government support. While most farmers with less than three years of experience reported feeling well-supported, more experienced farmers expressed dissatisfaction. This disparity stems from a perceived lack of tailored support for advanced farmers, who require resources and guidance to expand into commercial farming. These experienced farmers hold significant potential for developing Nauru’s agricultural sector, yet their needs remain unmet. This study underscores the importance of understanding and addressing the specific challenges faced by experienced farmers. By identifying gaps in support and tailoring interventions, the government can foster sustainable agricultural growth and strengthen food security in Nauru.</w:t>
            </w:r>
          </w:p>
          <w:p w14:paraId="6D340414" w14:textId="77777777" w:rsidR="00E95E6E" w:rsidRDefault="00E95E6E">
            <w:pPr>
              <w:rPr>
                <w:rFonts w:ascii="Arial" w:eastAsia="Arial" w:hAnsi="Arial" w:cs="Arial"/>
                <w:sz w:val="22"/>
                <w:szCs w:val="22"/>
              </w:rPr>
            </w:pPr>
          </w:p>
          <w:p w14:paraId="55BB0422" w14:textId="77777777" w:rsidR="00E95E6E" w:rsidRDefault="00E95E6E">
            <w:pPr>
              <w:rPr>
                <w:rFonts w:ascii="Arial" w:eastAsia="Arial" w:hAnsi="Arial" w:cs="Arial"/>
                <w:b/>
                <w:sz w:val="22"/>
                <w:szCs w:val="22"/>
              </w:rPr>
            </w:pPr>
          </w:p>
          <w:p w14:paraId="029A7F85" w14:textId="77777777" w:rsidR="00E95E6E" w:rsidRDefault="00E95E6E">
            <w:pPr>
              <w:rPr>
                <w:rFonts w:ascii="Arial" w:eastAsia="Arial" w:hAnsi="Arial" w:cs="Arial"/>
                <w:b/>
                <w:sz w:val="22"/>
                <w:szCs w:val="22"/>
              </w:rPr>
            </w:pPr>
          </w:p>
        </w:tc>
      </w:tr>
    </w:tbl>
    <w:p w14:paraId="2B07C565" w14:textId="77777777" w:rsidR="00E95E6E" w:rsidRDefault="00E95E6E">
      <w:pPr>
        <w:rPr>
          <w:rFonts w:ascii="Arial" w:eastAsia="Arial" w:hAnsi="Arial" w:cs="Arial"/>
          <w:sz w:val="22"/>
          <w:szCs w:val="22"/>
        </w:rPr>
      </w:pPr>
    </w:p>
    <w:sectPr w:rsidR="00E95E6E">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10542" w14:textId="77777777" w:rsidR="00E10F2A" w:rsidRDefault="00E10F2A">
      <w:r>
        <w:separator/>
      </w:r>
    </w:p>
  </w:endnote>
  <w:endnote w:type="continuationSeparator" w:id="0">
    <w:p w14:paraId="64EE054B" w14:textId="77777777" w:rsidR="00E10F2A" w:rsidRDefault="00E10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E46B9" w14:textId="77777777" w:rsidR="00E10F2A" w:rsidRDefault="00E10F2A">
      <w:r>
        <w:separator/>
      </w:r>
    </w:p>
  </w:footnote>
  <w:footnote w:type="continuationSeparator" w:id="0">
    <w:p w14:paraId="794DB57C" w14:textId="77777777" w:rsidR="00E10F2A" w:rsidRDefault="00E10F2A">
      <w:r>
        <w:continuationSeparator/>
      </w:r>
    </w:p>
  </w:footnote>
  <w:footnote w:id="1">
    <w:p w14:paraId="3B161342" w14:textId="77777777" w:rsidR="00E95E6E" w:rsidRDefault="00E10F2A">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hyperlink r:id="rId1">
        <w:r>
          <w:rPr>
            <w:color w:val="0563C1"/>
            <w:sz w:val="20"/>
            <w:szCs w:val="20"/>
            <w:u w:val="single"/>
          </w:rPr>
          <w:t>https://www.spc.int/digitallibrary/get/tewj8</w:t>
        </w:r>
      </w:hyperlink>
    </w:p>
    <w:p w14:paraId="58EDB0CE" w14:textId="77777777" w:rsidR="00E95E6E" w:rsidRDefault="00E95E6E">
      <w:pPr>
        <w:pBdr>
          <w:top w:val="nil"/>
          <w:left w:val="nil"/>
          <w:bottom w:val="nil"/>
          <w:right w:val="nil"/>
          <w:between w:val="nil"/>
        </w:pBdr>
        <w:rPr>
          <w:color w:val="000000"/>
          <w:sz w:val="20"/>
          <w:szCs w:val="20"/>
        </w:rPr>
      </w:pPr>
    </w:p>
  </w:footnote>
  <w:footnote w:id="2">
    <w:p w14:paraId="31A4A2E8" w14:textId="77777777" w:rsidR="00E95E6E" w:rsidRDefault="00E10F2A">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https://www.spc.int/sites/default/files/eventfiles/2024-04/PHOAFS%209%20Working%20Paper%202.1%20Regional%20Research%20Agenda_V2%20-%20E.pdf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D174A"/>
    <w:multiLevelType w:val="multilevel"/>
    <w:tmpl w:val="3A4CFBE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7E128B5"/>
    <w:multiLevelType w:val="multilevel"/>
    <w:tmpl w:val="D24E907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56365024">
    <w:abstractNumId w:val="1"/>
  </w:num>
  <w:num w:numId="2" w16cid:durableId="1126579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E6E"/>
    <w:rsid w:val="000F5579"/>
    <w:rsid w:val="00197C10"/>
    <w:rsid w:val="004478A8"/>
    <w:rsid w:val="00630FB7"/>
    <w:rsid w:val="00876440"/>
    <w:rsid w:val="00B64B22"/>
    <w:rsid w:val="00E10F2A"/>
    <w:rsid w:val="00E95E6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E8F5E"/>
  <w15:docId w15:val="{680842B9-FD82-48F0-83E0-558AF50C1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CA"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8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FootnoteText">
    <w:name w:val="footnote text"/>
    <w:basedOn w:val="Normal"/>
    <w:link w:val="FootnoteTextChar"/>
    <w:uiPriority w:val="99"/>
    <w:semiHidden/>
    <w:unhideWhenUsed/>
    <w:rsid w:val="00D164B4"/>
    <w:rPr>
      <w:sz w:val="20"/>
      <w:szCs w:val="20"/>
    </w:rPr>
  </w:style>
  <w:style w:type="character" w:customStyle="1" w:styleId="FootnoteTextChar">
    <w:name w:val="Footnote Text Char"/>
    <w:basedOn w:val="DefaultParagraphFont"/>
    <w:link w:val="FootnoteText"/>
    <w:uiPriority w:val="99"/>
    <w:semiHidden/>
    <w:rsid w:val="00D164B4"/>
    <w:rPr>
      <w:sz w:val="20"/>
      <w:szCs w:val="20"/>
    </w:rPr>
  </w:style>
  <w:style w:type="character" w:styleId="FootnoteReference">
    <w:name w:val="footnote reference"/>
    <w:basedOn w:val="DefaultParagraphFont"/>
    <w:uiPriority w:val="99"/>
    <w:semiHidden/>
    <w:unhideWhenUsed/>
    <w:rsid w:val="00D164B4"/>
    <w:rPr>
      <w:vertAlign w:val="superscript"/>
    </w:rPr>
  </w:style>
  <w:style w:type="character" w:styleId="Hyperlink">
    <w:name w:val="Hyperlink"/>
    <w:basedOn w:val="DefaultParagraphFont"/>
    <w:uiPriority w:val="99"/>
    <w:unhideWhenUsed/>
    <w:rsid w:val="00D164B4"/>
    <w:rPr>
      <w:color w:val="0563C1" w:themeColor="hyperlink"/>
      <w:u w:val="single"/>
    </w:rPr>
  </w:style>
  <w:style w:type="character" w:styleId="UnresolvedMention">
    <w:name w:val="Unresolved Mention"/>
    <w:basedOn w:val="DefaultParagraphFont"/>
    <w:uiPriority w:val="99"/>
    <w:semiHidden/>
    <w:unhideWhenUsed/>
    <w:rsid w:val="00D164B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spc.int/digitallibrary/get/tewj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UtXSlZVYWF3y7dOVn/ScMdYKUA==">CgMxLjAyCGguZ2pkZ3hzMgloLjMwajB6bGw4AHIhMWJBUXRUSWhmdkFuTmFvbkpqd05GVGw1MzMwdmR2bmFh</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AD3295-984C-4DFE-964C-61375C958C90}">
  <ds:schemaRefs>
    <ds:schemaRef ds:uri="http://schemas.microsoft.com/office/2006/metadata/properties"/>
    <ds:schemaRef ds:uri="9c8a2b7b-0bee-4c48-b0a6-23db8982d3bc"/>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6911e96c-4cc4-42d5-8e43-f93924cf6a05"/>
    <ds:schemaRef ds:uri="cab52c9b-ab33-4221-8af9-54f8f2b86a80"/>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BCE9487E-83C5-4052-B366-DD60982F6211}">
  <ds:schemaRefs>
    <ds:schemaRef ds:uri="http://schemas.microsoft.com/sharepoint/v3/contenttype/forms"/>
  </ds:schemaRefs>
</ds:datastoreItem>
</file>

<file path=customXml/itemProps4.xml><?xml version="1.0" encoding="utf-8"?>
<ds:datastoreItem xmlns:ds="http://schemas.openxmlformats.org/officeDocument/2006/customXml" ds:itemID="{74E1FDB8-2D91-43F5-89DD-D1D3215CE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1645</Words>
  <Characters>9379</Characters>
  <Application>Microsoft Office Word</Application>
  <DocSecurity>0</DocSecurity>
  <Lines>78</Lines>
  <Paragraphs>22</Paragraphs>
  <ScaleCrop>false</ScaleCrop>
  <Company/>
  <LinksUpToDate>false</LinksUpToDate>
  <CharactersWithSpaces>11002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Ying Syuan Huang, Dr</dc:creator>
  <cp:lastModifiedBy>Bethany Yee</cp:lastModifiedBy>
  <cp:revision>4</cp:revision>
  <dcterms:created xsi:type="dcterms:W3CDTF">2025-05-19T06:18:00Z</dcterms:created>
  <dcterms:modified xsi:type="dcterms:W3CDTF">2025-08-14T00:53:00Z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