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94F144A" w:rsidR="002B7FC8" w:rsidRPr="00242808" w:rsidRDefault="00F16B61" w:rsidP="00AB1C05">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C73E89">
              <w:rPr>
                <w:rFonts w:ascii="Arial" w:hAnsi="Arial" w:cs="Arial"/>
                <w:b/>
                <w:sz w:val="22"/>
                <w:szCs w:val="22"/>
              </w:rPr>
              <w:t>Workshop</w:t>
            </w:r>
            <w:r w:rsidR="00AB1C05" w:rsidRPr="00AB1C05">
              <w:rPr>
                <w:rFonts w:ascii="Arial" w:hAnsi="Arial" w:cs="Arial"/>
                <w:b/>
                <w:sz w:val="22"/>
                <w:szCs w:val="22"/>
              </w:rPr>
              <w:t xml:space="preserve">: </w:t>
            </w:r>
            <w:r w:rsidR="00AB1C05" w:rsidRPr="00AB1C05">
              <w:rPr>
                <w:rFonts w:ascii="Arial" w:hAnsi="Arial" w:cs="Arial"/>
                <w:sz w:val="22"/>
                <w:szCs w:val="22"/>
                <w:highlight w:val="white"/>
              </w:rPr>
              <w:t>Translating research into meaningful outcomes: an asset literacy approach.</w:t>
            </w:r>
          </w:p>
        </w:tc>
      </w:tr>
      <w:tr w:rsidR="002B7FC8" w:rsidRPr="0003525D" w14:paraId="5A4DE264" w14:textId="77777777" w:rsidTr="00D71EFE">
        <w:trPr>
          <w:trHeight w:val="7663"/>
        </w:trPr>
        <w:tc>
          <w:tcPr>
            <w:tcW w:w="8640" w:type="dxa"/>
          </w:tcPr>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246D7389" w14:textId="33223998" w:rsidR="003C44BB" w:rsidRPr="00AA6FBC" w:rsidRDefault="003C44BB" w:rsidP="003C44BB">
            <w:pPr>
              <w:numPr>
                <w:ilvl w:val="0"/>
                <w:numId w:val="1"/>
              </w:numPr>
              <w:contextualSpacing/>
              <w:rPr>
                <w:rFonts w:ascii="Arial" w:hAnsi="Arial" w:cs="Arial"/>
                <w:sz w:val="22"/>
                <w:szCs w:val="22"/>
                <w:highlight w:val="white"/>
              </w:rPr>
            </w:pPr>
            <w:r w:rsidRPr="00AA6FBC">
              <w:rPr>
                <w:rFonts w:ascii="Arial" w:hAnsi="Arial" w:cs="Arial"/>
                <w:sz w:val="22"/>
                <w:szCs w:val="22"/>
              </w:rPr>
              <w:t>Discuss the importance of translating research into meaningful outcomes, and barriers which present challenges and opportunities within this process</w:t>
            </w:r>
            <w:r w:rsidR="009E48DB">
              <w:rPr>
                <w:rFonts w:ascii="Arial" w:hAnsi="Arial" w:cs="Arial"/>
                <w:sz w:val="22"/>
                <w:szCs w:val="22"/>
              </w:rPr>
              <w:t>.</w:t>
            </w:r>
          </w:p>
          <w:p w14:paraId="15F61B33" w14:textId="77777777" w:rsidR="003C44BB" w:rsidRPr="00AA6FBC" w:rsidRDefault="003C44BB" w:rsidP="003C44BB">
            <w:pPr>
              <w:numPr>
                <w:ilvl w:val="0"/>
                <w:numId w:val="1"/>
              </w:numPr>
              <w:contextualSpacing/>
              <w:rPr>
                <w:rFonts w:ascii="Arial" w:hAnsi="Arial" w:cs="Arial"/>
                <w:sz w:val="22"/>
                <w:szCs w:val="22"/>
                <w:highlight w:val="white"/>
              </w:rPr>
            </w:pPr>
            <w:r w:rsidRPr="00AA6FBC">
              <w:rPr>
                <w:rFonts w:ascii="Arial" w:hAnsi="Arial" w:cs="Arial"/>
                <w:sz w:val="22"/>
                <w:szCs w:val="22"/>
              </w:rPr>
              <w:t>Facilitate reflection and dialogue about different approaches to translation of research, comparing and contrasting methods for pull, push and exchange.</w:t>
            </w:r>
            <w:r w:rsidRPr="00AA6FBC" w:rsidDel="0045252C">
              <w:rPr>
                <w:rFonts w:ascii="Arial" w:hAnsi="Arial" w:cs="Arial"/>
                <w:sz w:val="22"/>
                <w:szCs w:val="22"/>
                <w:highlight w:val="white"/>
              </w:rPr>
              <w:t xml:space="preserve"> </w:t>
            </w:r>
          </w:p>
          <w:p w14:paraId="1D7E317F" w14:textId="31561512" w:rsidR="003C44BB" w:rsidRPr="00AA6FBC" w:rsidRDefault="003C44BB" w:rsidP="003C44BB">
            <w:pPr>
              <w:numPr>
                <w:ilvl w:val="0"/>
                <w:numId w:val="1"/>
              </w:numPr>
              <w:contextualSpacing/>
              <w:rPr>
                <w:rFonts w:ascii="Arial" w:hAnsi="Arial" w:cs="Arial"/>
                <w:sz w:val="22"/>
                <w:szCs w:val="22"/>
                <w:highlight w:val="white"/>
              </w:rPr>
            </w:pPr>
            <w:r w:rsidRPr="00AA6FBC">
              <w:rPr>
                <w:rFonts w:ascii="Arial" w:hAnsi="Arial" w:cs="Arial"/>
                <w:sz w:val="22"/>
                <w:szCs w:val="22"/>
                <w:highlight w:val="white"/>
              </w:rPr>
              <w:t>Discuss possibilities and opportunities to bridge the gap between research and meaningful outcomes, by drawing on t</w:t>
            </w:r>
            <w:r w:rsidR="009E48DB">
              <w:rPr>
                <w:rFonts w:ascii="Arial" w:hAnsi="Arial" w:cs="Arial"/>
                <w:sz w:val="22"/>
                <w:szCs w:val="22"/>
                <w:highlight w:val="white"/>
              </w:rPr>
              <w:t>he principles of asset literacy.</w:t>
            </w:r>
          </w:p>
          <w:p w14:paraId="0D3D90EF" w14:textId="77777777" w:rsidR="003C44BB" w:rsidRPr="00AA6FBC" w:rsidRDefault="003C44BB" w:rsidP="003C44BB">
            <w:pPr>
              <w:ind w:left="720"/>
              <w:rPr>
                <w:rFonts w:ascii="Arial" w:hAnsi="Arial" w:cs="Arial"/>
                <w:sz w:val="22"/>
                <w:szCs w:val="22"/>
                <w:highlight w:val="white"/>
              </w:rPr>
            </w:pPr>
          </w:p>
          <w:p w14:paraId="0DEDD25B" w14:textId="77777777" w:rsidR="003C44BB" w:rsidRPr="00AA6FBC" w:rsidRDefault="003C44BB" w:rsidP="003C44BB">
            <w:pPr>
              <w:pStyle w:val="Tekstopmerking"/>
              <w:rPr>
                <w:sz w:val="22"/>
                <w:szCs w:val="22"/>
              </w:rPr>
            </w:pPr>
            <w:r w:rsidRPr="00AA6FBC">
              <w:rPr>
                <w:sz w:val="22"/>
                <w:szCs w:val="22"/>
              </w:rPr>
              <w:t xml:space="preserve">Bridging the gap between research and practice is a health equity issue, and has been recognized as a challenge for several decades. Projects are often planned with the vision of having a real, lasting community impact, where in reality that process can be challenging. </w:t>
            </w:r>
          </w:p>
          <w:p w14:paraId="77ABA301" w14:textId="77777777" w:rsidR="003C44BB" w:rsidRPr="00AA6FBC" w:rsidRDefault="003C44BB" w:rsidP="003C44BB">
            <w:pPr>
              <w:pStyle w:val="Tekstopmerking"/>
              <w:rPr>
                <w:sz w:val="22"/>
                <w:szCs w:val="22"/>
              </w:rPr>
            </w:pPr>
          </w:p>
          <w:p w14:paraId="0E99552D" w14:textId="77777777" w:rsidR="003C44BB" w:rsidRPr="00AA6FBC" w:rsidRDefault="003C44BB" w:rsidP="003C44BB">
            <w:pPr>
              <w:rPr>
                <w:rFonts w:ascii="Arial" w:hAnsi="Arial" w:cs="Arial"/>
                <w:sz w:val="22"/>
                <w:szCs w:val="22"/>
                <w:highlight w:val="white"/>
              </w:rPr>
            </w:pPr>
            <w:r w:rsidRPr="00AA6FBC">
              <w:rPr>
                <w:rFonts w:ascii="Arial" w:hAnsi="Arial" w:cs="Arial"/>
                <w:sz w:val="22"/>
                <w:szCs w:val="22"/>
              </w:rPr>
              <w:t xml:space="preserve">Different strategies for transferring or translating evidence into meaningful and sustainable outcomes have been proposed and assessed. In this workshop we will present and facilitate discussion about how asset literacy can help to bridge the know-do gap by highlighting personal and collective assets, and devising innovative strategies to mobilize them.  </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42E5EF8D" w14:textId="77777777" w:rsidR="00AA6FBC" w:rsidRPr="00AA6FBC" w:rsidRDefault="00AA6FBC" w:rsidP="00AA6FBC">
            <w:pPr>
              <w:pStyle w:val="Tekstopmerking"/>
              <w:rPr>
                <w:sz w:val="22"/>
                <w:szCs w:val="22"/>
              </w:rPr>
            </w:pPr>
            <w:r w:rsidRPr="00AA6FBC">
              <w:rPr>
                <w:sz w:val="22"/>
                <w:szCs w:val="22"/>
              </w:rPr>
              <w:t xml:space="preserve">The workshop will be composed of two parts. First, we will introduce knowledge translation and research-to-action strategies. We will present research on asset-mapping and the different components of asset literacy, which emphasizes the role of self-efficacy and motivation in moving from awareness to action. </w:t>
            </w:r>
          </w:p>
          <w:p w14:paraId="0A23CFF0" w14:textId="77777777" w:rsidR="00AA6FBC" w:rsidRPr="00AA6FBC" w:rsidRDefault="00AA6FBC" w:rsidP="00AA6FBC">
            <w:pPr>
              <w:pStyle w:val="Tekstopmerking"/>
              <w:rPr>
                <w:sz w:val="22"/>
                <w:szCs w:val="22"/>
              </w:rPr>
            </w:pPr>
          </w:p>
          <w:p w14:paraId="1AECEA41" w14:textId="77777777" w:rsidR="00AA6FBC" w:rsidRPr="00AA6FBC" w:rsidRDefault="00AA6FBC" w:rsidP="00AA6FBC">
            <w:pPr>
              <w:rPr>
                <w:rFonts w:ascii="Arial" w:hAnsi="Arial" w:cs="Arial"/>
                <w:sz w:val="22"/>
                <w:szCs w:val="22"/>
                <w:highlight w:val="white"/>
              </w:rPr>
            </w:pPr>
            <w:r w:rsidRPr="00AA6FBC">
              <w:rPr>
                <w:rFonts w:ascii="Arial" w:hAnsi="Arial" w:cs="Arial"/>
                <w:sz w:val="22"/>
                <w:szCs w:val="22"/>
              </w:rPr>
              <w:t>In the second part of the workshop, participants will have an opportunity to engage in an asset-mapping activity which incorporates an evaluative component. This activity is designed to build collective asset literacy by creating an opportunity for participants to exchange their knowledge and ideas about strategies to support translation of research into meaningful community outcomes. This activity will be adapted to the size of the group, with different options to accommodate small or large group discussions.</w:t>
            </w:r>
            <w:r w:rsidRPr="00AA6FBC" w:rsidDel="0045252C">
              <w:rPr>
                <w:rFonts w:ascii="Arial" w:hAnsi="Arial" w:cs="Arial"/>
                <w:sz w:val="22"/>
                <w:szCs w:val="22"/>
                <w:highlight w:val="white"/>
              </w:rPr>
              <w:t xml:space="preserve"> </w:t>
            </w:r>
          </w:p>
          <w:p w14:paraId="5A4DE25C" w14:textId="77777777"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3CB2027B" w14:textId="77777777" w:rsidR="00AA6FBC" w:rsidRPr="00AA6FBC" w:rsidRDefault="00AA6FBC" w:rsidP="00AA6FBC">
            <w:pPr>
              <w:rPr>
                <w:rFonts w:ascii="Arial" w:hAnsi="Arial" w:cs="Arial"/>
                <w:sz w:val="22"/>
                <w:szCs w:val="22"/>
                <w:highlight w:val="white"/>
              </w:rPr>
            </w:pPr>
            <w:r w:rsidRPr="00AA6FBC">
              <w:rPr>
                <w:rFonts w:ascii="Arial" w:hAnsi="Arial" w:cs="Arial"/>
                <w:sz w:val="22"/>
                <w:szCs w:val="22"/>
                <w:highlight w:val="white"/>
              </w:rPr>
              <w:t>By the end of this workshop, participants will have:</w:t>
            </w:r>
          </w:p>
          <w:p w14:paraId="1415EBAC" w14:textId="4E732AAE" w:rsidR="00AA6FBC" w:rsidRPr="00AA6FBC" w:rsidRDefault="00AA6FBC" w:rsidP="00AA6FBC">
            <w:pPr>
              <w:numPr>
                <w:ilvl w:val="0"/>
                <w:numId w:val="2"/>
              </w:numPr>
              <w:contextualSpacing/>
              <w:rPr>
                <w:rFonts w:ascii="Arial" w:hAnsi="Arial" w:cs="Arial"/>
                <w:sz w:val="22"/>
                <w:szCs w:val="22"/>
                <w:highlight w:val="white"/>
              </w:rPr>
            </w:pPr>
            <w:r w:rsidRPr="00AA6FBC">
              <w:rPr>
                <w:rFonts w:ascii="Arial" w:hAnsi="Arial" w:cs="Arial"/>
                <w:sz w:val="22"/>
                <w:szCs w:val="22"/>
                <w:highlight w:val="white"/>
              </w:rPr>
              <w:t>A set of concrete strategies they can apply in project planning to support translation of evidence to meaningful outcomes</w:t>
            </w:r>
            <w:r w:rsidR="009E48DB">
              <w:rPr>
                <w:rFonts w:ascii="Arial" w:hAnsi="Arial" w:cs="Arial"/>
                <w:sz w:val="22"/>
                <w:szCs w:val="22"/>
                <w:highlight w:val="white"/>
              </w:rPr>
              <w:t>.</w:t>
            </w:r>
            <w:bookmarkStart w:id="0" w:name="_GoBack"/>
            <w:bookmarkEnd w:id="0"/>
          </w:p>
          <w:p w14:paraId="5A4DE263" w14:textId="422E83BD" w:rsidR="00DA7A71" w:rsidRPr="00DA7A71" w:rsidRDefault="00AA6FBC" w:rsidP="00AA6FBC">
            <w:pPr>
              <w:numPr>
                <w:ilvl w:val="0"/>
                <w:numId w:val="2"/>
              </w:numPr>
              <w:contextualSpacing/>
              <w:jc w:val="both"/>
              <w:rPr>
                <w:rFonts w:ascii="Arial" w:hAnsi="Arial" w:cs="Arial"/>
                <w:bCs/>
                <w:sz w:val="22"/>
                <w:szCs w:val="22"/>
              </w:rPr>
            </w:pPr>
            <w:r w:rsidRPr="00AA6FBC">
              <w:rPr>
                <w:rFonts w:ascii="Arial" w:hAnsi="Arial" w:cs="Arial"/>
                <w:sz w:val="22"/>
                <w:szCs w:val="22"/>
                <w:highlight w:val="white"/>
              </w:rPr>
              <w:t>Knowledge of the different components of asset literacy and how this approach can be used to support healthy, adaptive, resilient communities</w:t>
            </w:r>
            <w:r w:rsidRPr="00AA6FBC">
              <w:rPr>
                <w:rFonts w:ascii="Arial" w:hAnsi="Arial" w:cs="Arial"/>
                <w:sz w:val="22"/>
                <w:szCs w:val="22"/>
                <w:highlight w:val="white"/>
              </w:rPr>
              <w:t>.</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8C1EE0"/>
    <w:multiLevelType w:val="multilevel"/>
    <w:tmpl w:val="7F568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18089B"/>
    <w:multiLevelType w:val="multilevel"/>
    <w:tmpl w:val="A78C2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C44BB"/>
    <w:rsid w:val="003F596D"/>
    <w:rsid w:val="00485CB7"/>
    <w:rsid w:val="00490208"/>
    <w:rsid w:val="004B5B95"/>
    <w:rsid w:val="004C45A1"/>
    <w:rsid w:val="004E345D"/>
    <w:rsid w:val="00564331"/>
    <w:rsid w:val="00590824"/>
    <w:rsid w:val="005F7DC7"/>
    <w:rsid w:val="00610F92"/>
    <w:rsid w:val="006605DB"/>
    <w:rsid w:val="00663BFF"/>
    <w:rsid w:val="006C6E32"/>
    <w:rsid w:val="0070252B"/>
    <w:rsid w:val="00714C46"/>
    <w:rsid w:val="007A2A9C"/>
    <w:rsid w:val="0082392D"/>
    <w:rsid w:val="008874BF"/>
    <w:rsid w:val="008C05AC"/>
    <w:rsid w:val="00932377"/>
    <w:rsid w:val="009B7881"/>
    <w:rsid w:val="009E48DB"/>
    <w:rsid w:val="00A112C8"/>
    <w:rsid w:val="00A1780F"/>
    <w:rsid w:val="00A9020C"/>
    <w:rsid w:val="00AA1598"/>
    <w:rsid w:val="00AA5B46"/>
    <w:rsid w:val="00AA6FBC"/>
    <w:rsid w:val="00AB1C05"/>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C05CE"/>
    <w:rPr>
      <w:sz w:val="24"/>
      <w:szCs w:val="24"/>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Plattetekstinspringen">
    <w:name w:val="Body Text Indent"/>
    <w:basedOn w:val="Standaard"/>
    <w:rsid w:val="000C05CE"/>
    <w:pPr>
      <w:spacing w:after="120"/>
      <w:ind w:left="283"/>
    </w:pPr>
    <w:rPr>
      <w:sz w:val="20"/>
      <w:szCs w:val="20"/>
      <w:lang w:val="en-US"/>
    </w:rPr>
  </w:style>
  <w:style w:type="table" w:styleId="Tabelraster">
    <w:name w:val="Table Grid"/>
    <w:basedOn w:val="Standaardtabe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Standaard"/>
    <w:next w:val="Standaard"/>
    <w:autoRedefine/>
    <w:rsid w:val="004C45A1"/>
    <w:pPr>
      <w:autoSpaceDE w:val="0"/>
      <w:autoSpaceDN w:val="0"/>
    </w:pPr>
    <w:rPr>
      <w:bCs/>
      <w:lang w:val="en-AU"/>
    </w:rPr>
  </w:style>
  <w:style w:type="paragraph" w:customStyle="1" w:styleId="address">
    <w:name w:val="address"/>
    <w:basedOn w:val="Standaard"/>
    <w:next w:val="Standaard"/>
    <w:rsid w:val="004C45A1"/>
    <w:pPr>
      <w:autoSpaceDE w:val="0"/>
      <w:autoSpaceDN w:val="0"/>
    </w:pPr>
    <w:rPr>
      <w:sz w:val="18"/>
      <w:szCs w:val="22"/>
      <w:lang w:val="en-AU"/>
    </w:rPr>
  </w:style>
  <w:style w:type="paragraph" w:styleId="Titel">
    <w:name w:val="Title"/>
    <w:basedOn w:val="Standaard"/>
    <w:next w:val="Standaard"/>
    <w:autoRedefine/>
    <w:qFormat/>
    <w:rsid w:val="004C45A1"/>
    <w:pPr>
      <w:autoSpaceDE w:val="0"/>
      <w:autoSpaceDN w:val="0"/>
      <w:outlineLvl w:val="0"/>
    </w:pPr>
    <w:rPr>
      <w:b/>
      <w:spacing w:val="-6"/>
      <w:kern w:val="28"/>
      <w:lang w:val="en-AU"/>
    </w:rPr>
  </w:style>
  <w:style w:type="paragraph" w:styleId="Normaalweb">
    <w:name w:val="Normal (Web)"/>
    <w:basedOn w:val="Standaard"/>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Tekstopmerking">
    <w:name w:val="annotation text"/>
    <w:basedOn w:val="Standaard"/>
    <w:link w:val="TekstopmerkingChar"/>
    <w:uiPriority w:val="99"/>
    <w:semiHidden/>
    <w:unhideWhenUsed/>
    <w:rsid w:val="003C44BB"/>
    <w:pPr>
      <w:contextualSpacing/>
    </w:pPr>
    <w:rPr>
      <w:rFonts w:ascii="Arial" w:eastAsia="Arial" w:hAnsi="Arial" w:cs="Arial"/>
      <w:sz w:val="20"/>
      <w:szCs w:val="20"/>
      <w:lang w:val="en-US"/>
    </w:rPr>
  </w:style>
  <w:style w:type="character" w:customStyle="1" w:styleId="TekstopmerkingChar">
    <w:name w:val="Tekst opmerking Char"/>
    <w:basedOn w:val="Standaardalinea-lettertype"/>
    <w:link w:val="Tekstopmerking"/>
    <w:uiPriority w:val="99"/>
    <w:semiHidden/>
    <w:rsid w:val="003C44BB"/>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www.w3.org/XML/1998/namespace"/>
    <ds:schemaRef ds:uri="http://schemas.microsoft.com/office/2006/documentManagement/types"/>
    <ds:schemaRef ds:uri="6911e96c-4cc4-42d5-8e43-f93924cf6a05"/>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9c8a2b7b-0bee-4c48-b0a6-23db8982d3bc"/>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2019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Boonekamp Gwendolijn</cp:lastModifiedBy>
  <cp:revision>6</cp:revision>
  <dcterms:created xsi:type="dcterms:W3CDTF">2018-08-29T13:56:00Z</dcterms:created>
  <dcterms:modified xsi:type="dcterms:W3CDTF">2018-08-29T14:22:00Z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