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7F98" w14:textId="77777777" w:rsidR="00704867" w:rsidRDefault="00704867" w:rsidP="00704867">
      <w:pPr>
        <w:ind w:left="-709" w:right="-472"/>
        <w:rPr>
          <w:rFonts w:ascii="Arial" w:hAnsi="Arial" w:cs="Arial"/>
          <w:b/>
          <w:bCs/>
          <w:sz w:val="22"/>
          <w:szCs w:val="22"/>
        </w:rPr>
      </w:pPr>
    </w:p>
    <w:p w14:paraId="0ED01BD1" w14:textId="5B3DE15A" w:rsidR="001149FF" w:rsidRPr="00704867" w:rsidRDefault="00704867" w:rsidP="00D37ED1">
      <w:pPr>
        <w:ind w:left="-709" w:right="-472"/>
        <w:rPr>
          <w:rFonts w:ascii="Arial" w:hAnsi="Arial" w:cs="Arial"/>
          <w:sz w:val="22"/>
          <w:szCs w:val="22"/>
        </w:rPr>
      </w:pPr>
      <w:r w:rsidRPr="00704867">
        <w:rPr>
          <w:rFonts w:ascii="Arial" w:hAnsi="Arial" w:cs="Arial"/>
          <w:b/>
          <w:bCs/>
          <w:sz w:val="22"/>
          <w:szCs w:val="22"/>
        </w:rPr>
        <w:t xml:space="preserve">Abstract title: </w:t>
      </w:r>
      <w:r w:rsidR="00580678">
        <w:rPr>
          <w:rFonts w:ascii="Arial" w:hAnsi="Arial" w:cs="Arial"/>
          <w:sz w:val="22"/>
          <w:szCs w:val="22"/>
          <w:lang w:val="en-US"/>
        </w:rPr>
        <w:t>Functional Lung Assessment in Idiopathic Pulmonary Fibrosis Using X-ray Velocimetry Imaging</w:t>
      </w:r>
    </w:p>
    <w:p w14:paraId="50BC95BF" w14:textId="77777777" w:rsidR="001149FF" w:rsidRPr="001149FF" w:rsidRDefault="001149FF" w:rsidP="00D37ED1">
      <w:pPr>
        <w:ind w:left="-709" w:right="-472"/>
        <w:rPr>
          <w:rFonts w:ascii="Arial" w:hAnsi="Arial" w:cs="Arial"/>
          <w:sz w:val="22"/>
          <w:szCs w:val="22"/>
        </w:rPr>
      </w:pPr>
    </w:p>
    <w:p w14:paraId="126950FF" w14:textId="77777777" w:rsidR="0023453A" w:rsidRDefault="0023453A" w:rsidP="0023453A">
      <w:pPr>
        <w:ind w:left="-709" w:right="-472"/>
        <w:jc w:val="both"/>
        <w:rPr>
          <w:rFonts w:ascii="Arial" w:hAnsi="Arial" w:cs="Arial"/>
          <w:sz w:val="22"/>
          <w:szCs w:val="22"/>
          <w:vertAlign w:val="superscript"/>
          <w:lang w:val="en-US"/>
        </w:rPr>
      </w:pPr>
      <w:r w:rsidRPr="00565130">
        <w:rPr>
          <w:rFonts w:ascii="Arial" w:hAnsi="Arial" w:cs="Arial"/>
          <w:sz w:val="22"/>
          <w:szCs w:val="22"/>
          <w:lang w:val="en-US"/>
        </w:rPr>
        <w:t>Mymy Tran</w:t>
      </w:r>
      <w:r w:rsidRPr="00565130">
        <w:rPr>
          <w:rFonts w:ascii="Arial" w:hAnsi="Arial" w:cs="Arial"/>
          <w:sz w:val="22"/>
          <w:szCs w:val="22"/>
          <w:vertAlign w:val="superscript"/>
          <w:lang w:val="en-US"/>
        </w:rPr>
        <w:t>1,2,3</w:t>
      </w:r>
      <w:r w:rsidRPr="00565130">
        <w:rPr>
          <w:rFonts w:ascii="Arial" w:hAnsi="Arial" w:cs="Arial"/>
          <w:sz w:val="22"/>
          <w:szCs w:val="22"/>
          <w:lang w:val="en-US"/>
        </w:rPr>
        <w:t>, Caitlin Fermoyle</w:t>
      </w:r>
      <w:r w:rsidRPr="00565130">
        <w:rPr>
          <w:rFonts w:ascii="Arial" w:hAnsi="Arial" w:cs="Arial"/>
          <w:sz w:val="22"/>
          <w:szCs w:val="22"/>
          <w:vertAlign w:val="superscript"/>
          <w:lang w:val="en-US"/>
        </w:rPr>
        <w:t>1,2,3</w:t>
      </w:r>
      <w:r w:rsidRPr="00565130">
        <w:rPr>
          <w:rFonts w:ascii="Arial" w:hAnsi="Arial" w:cs="Arial"/>
          <w:sz w:val="22"/>
          <w:szCs w:val="22"/>
          <w:lang w:val="en-US"/>
        </w:rPr>
        <w:t>, Phillip A Munoz</w:t>
      </w:r>
      <w:r w:rsidRPr="00565130">
        <w:rPr>
          <w:rFonts w:ascii="Arial" w:hAnsi="Arial" w:cs="Arial"/>
          <w:sz w:val="22"/>
          <w:szCs w:val="22"/>
          <w:vertAlign w:val="superscript"/>
          <w:lang w:val="en-US"/>
        </w:rPr>
        <w:t>1,2</w:t>
      </w:r>
      <w:r w:rsidRPr="00565130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565130">
        <w:rPr>
          <w:rFonts w:ascii="Arial" w:hAnsi="Arial" w:cs="Arial"/>
          <w:sz w:val="22"/>
          <w:szCs w:val="22"/>
          <w:lang w:val="en-US"/>
        </w:rPr>
        <w:t>Adam Jaffe</w:t>
      </w:r>
      <w:r w:rsidRPr="00565130">
        <w:rPr>
          <w:rFonts w:ascii="Arial" w:hAnsi="Arial" w:cs="Arial"/>
          <w:sz w:val="22"/>
          <w:szCs w:val="22"/>
          <w:vertAlign w:val="superscript"/>
          <w:lang w:val="en-US"/>
        </w:rPr>
        <w:t>4,5</w:t>
      </w:r>
      <w:r w:rsidRPr="00565130">
        <w:rPr>
          <w:rFonts w:ascii="Arial" w:hAnsi="Arial" w:cs="Arial"/>
          <w:sz w:val="22"/>
          <w:szCs w:val="22"/>
          <w:lang w:val="en-US"/>
        </w:rPr>
        <w:t>,</w:t>
      </w:r>
      <w:r w:rsidRPr="002C34D5">
        <w:rPr>
          <w:rFonts w:ascii="Arial" w:hAnsi="Arial" w:cs="Arial"/>
          <w:sz w:val="22"/>
          <w:szCs w:val="22"/>
          <w:lang w:val="en-US"/>
        </w:rPr>
        <w:t xml:space="preserve"> </w:t>
      </w:r>
      <w:r w:rsidRPr="00565130">
        <w:rPr>
          <w:rFonts w:ascii="Arial" w:hAnsi="Arial" w:cs="Arial"/>
          <w:sz w:val="22"/>
          <w:szCs w:val="22"/>
          <w:lang w:val="en-US"/>
        </w:rPr>
        <w:t>Roxanne Strachan</w:t>
      </w:r>
      <w:r w:rsidRPr="00565130">
        <w:rPr>
          <w:rFonts w:ascii="Arial" w:hAnsi="Arial" w:cs="Arial"/>
          <w:sz w:val="22"/>
          <w:szCs w:val="22"/>
          <w:vertAlign w:val="superscript"/>
          <w:lang w:val="en-US"/>
        </w:rPr>
        <w:t>4,5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r w:rsidRPr="00565130">
        <w:rPr>
          <w:rFonts w:ascii="Arial" w:hAnsi="Arial" w:cs="Arial"/>
          <w:sz w:val="22"/>
          <w:szCs w:val="22"/>
          <w:lang w:val="en-US"/>
        </w:rPr>
        <w:t>Megan Frohlich</w:t>
      </w:r>
      <w:r w:rsidRPr="00565130">
        <w:rPr>
          <w:rFonts w:ascii="Arial" w:hAnsi="Arial" w:cs="Arial"/>
          <w:sz w:val="22"/>
          <w:szCs w:val="22"/>
          <w:vertAlign w:val="superscript"/>
          <w:lang w:val="en-US"/>
        </w:rPr>
        <w:t>4,5</w:t>
      </w:r>
      <w:r w:rsidRPr="00565130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Sheila Sivam</w:t>
      </w:r>
      <w:r>
        <w:rPr>
          <w:rFonts w:ascii="Arial" w:hAnsi="Arial" w:cs="Arial"/>
          <w:sz w:val="22"/>
          <w:szCs w:val="22"/>
          <w:vertAlign w:val="superscript"/>
          <w:lang w:val="en-US"/>
        </w:rPr>
        <w:t>1,2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r w:rsidRPr="00565130">
        <w:rPr>
          <w:rFonts w:ascii="Arial" w:hAnsi="Arial" w:cs="Arial"/>
          <w:sz w:val="22"/>
          <w:szCs w:val="22"/>
          <w:lang w:val="en-US"/>
        </w:rPr>
        <w:t>Nina Eikelis</w:t>
      </w:r>
      <w:r w:rsidRPr="00565130">
        <w:rPr>
          <w:rFonts w:ascii="Arial" w:hAnsi="Arial" w:cs="Arial"/>
          <w:sz w:val="22"/>
          <w:szCs w:val="22"/>
          <w:vertAlign w:val="superscript"/>
          <w:lang w:val="en-US"/>
        </w:rPr>
        <w:t>6</w:t>
      </w:r>
      <w:r w:rsidRPr="00565130">
        <w:rPr>
          <w:rFonts w:ascii="Arial" w:hAnsi="Arial" w:cs="Arial"/>
          <w:sz w:val="22"/>
          <w:szCs w:val="22"/>
          <w:lang w:val="en-US"/>
        </w:rPr>
        <w:t>,</w:t>
      </w:r>
      <w:r w:rsidRPr="00565130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Pr="00565130">
        <w:rPr>
          <w:rFonts w:ascii="Arial" w:hAnsi="Arial" w:cs="Arial"/>
          <w:sz w:val="22"/>
          <w:szCs w:val="22"/>
        </w:rPr>
        <w:t>Jamie McBride</w:t>
      </w:r>
      <w:r>
        <w:rPr>
          <w:rFonts w:ascii="Arial" w:hAnsi="Arial" w:cs="Arial"/>
          <w:sz w:val="22"/>
          <w:szCs w:val="22"/>
          <w:vertAlign w:val="superscript"/>
        </w:rPr>
        <w:t>4,5</w:t>
      </w:r>
      <w:r w:rsidRPr="00565130">
        <w:rPr>
          <w:rFonts w:ascii="Arial" w:hAnsi="Arial" w:cs="Arial"/>
          <w:sz w:val="22"/>
          <w:szCs w:val="22"/>
        </w:rPr>
        <w:t>,</w:t>
      </w:r>
      <w:r w:rsidRPr="00565130">
        <w:rPr>
          <w:rFonts w:ascii="Arial" w:hAnsi="Arial" w:cs="Arial"/>
          <w:sz w:val="22"/>
          <w:szCs w:val="22"/>
          <w:vertAlign w:val="superscript"/>
        </w:rPr>
        <w:t> </w:t>
      </w:r>
      <w:r w:rsidRPr="00565130">
        <w:rPr>
          <w:rFonts w:ascii="Arial" w:hAnsi="Arial" w:cs="Arial"/>
          <w:sz w:val="22"/>
          <w:szCs w:val="22"/>
        </w:rPr>
        <w:t>Emma Coward</w:t>
      </w:r>
      <w:r>
        <w:rPr>
          <w:rFonts w:ascii="Arial" w:hAnsi="Arial" w:cs="Arial"/>
          <w:sz w:val="22"/>
          <w:szCs w:val="22"/>
          <w:vertAlign w:val="superscript"/>
        </w:rPr>
        <w:t>4,5</w:t>
      </w:r>
      <w:r w:rsidRPr="00565130">
        <w:rPr>
          <w:rFonts w:ascii="Arial" w:hAnsi="Arial" w:cs="Arial"/>
          <w:sz w:val="22"/>
          <w:szCs w:val="22"/>
        </w:rPr>
        <w:t>, Leanne Plush</w:t>
      </w:r>
      <w:r>
        <w:rPr>
          <w:rFonts w:ascii="Arial" w:hAnsi="Arial" w:cs="Arial"/>
          <w:sz w:val="22"/>
          <w:szCs w:val="22"/>
          <w:vertAlign w:val="superscript"/>
        </w:rPr>
        <w:t>4</w:t>
      </w:r>
      <w:r w:rsidRPr="00565130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Kate Hardaker</w:t>
      </w:r>
      <w:r>
        <w:rPr>
          <w:rFonts w:ascii="Arial" w:hAnsi="Arial" w:cs="Arial"/>
          <w:sz w:val="22"/>
          <w:szCs w:val="22"/>
          <w:vertAlign w:val="superscript"/>
          <w:lang w:val="en-US"/>
        </w:rPr>
        <w:t>2,7</w:t>
      </w:r>
      <w:r>
        <w:rPr>
          <w:rFonts w:ascii="Arial" w:hAnsi="Arial" w:cs="Arial"/>
          <w:sz w:val="22"/>
          <w:szCs w:val="22"/>
          <w:lang w:val="en-US"/>
        </w:rPr>
        <w:t>, Claudia Hillenbrand</w:t>
      </w:r>
      <w:r>
        <w:rPr>
          <w:rFonts w:ascii="Arial" w:hAnsi="Arial" w:cs="Arial"/>
          <w:sz w:val="22"/>
          <w:szCs w:val="22"/>
          <w:vertAlign w:val="superscript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r w:rsidRPr="00565130">
        <w:rPr>
          <w:rFonts w:ascii="Arial" w:hAnsi="Arial" w:cs="Arial"/>
          <w:sz w:val="22"/>
          <w:szCs w:val="22"/>
          <w:lang w:val="en-US"/>
        </w:rPr>
        <w:t>Tamera J Corte</w:t>
      </w:r>
      <w:r w:rsidRPr="00565130">
        <w:rPr>
          <w:rFonts w:ascii="Arial" w:hAnsi="Arial" w:cs="Arial"/>
          <w:sz w:val="22"/>
          <w:szCs w:val="22"/>
          <w:vertAlign w:val="superscript"/>
          <w:lang w:val="en-US"/>
        </w:rPr>
        <w:t>1,2,3</w:t>
      </w:r>
    </w:p>
    <w:p w14:paraId="6D551190" w14:textId="77777777" w:rsidR="0023453A" w:rsidRPr="00565130" w:rsidRDefault="0023453A" w:rsidP="0023453A">
      <w:pPr>
        <w:ind w:left="-709" w:right="-472"/>
        <w:jc w:val="both"/>
        <w:rPr>
          <w:rFonts w:ascii="Arial" w:hAnsi="Arial" w:cs="Arial"/>
          <w:sz w:val="22"/>
          <w:szCs w:val="22"/>
          <w:vertAlign w:val="superscript"/>
          <w:lang w:val="en-US"/>
        </w:rPr>
      </w:pPr>
    </w:p>
    <w:p w14:paraId="738FB3BA" w14:textId="77777777" w:rsidR="0023453A" w:rsidRPr="00181F71" w:rsidRDefault="0023453A" w:rsidP="0023453A">
      <w:pPr>
        <w:ind w:left="-709" w:right="-472"/>
        <w:jc w:val="both"/>
        <w:rPr>
          <w:rFonts w:ascii="Arial" w:hAnsi="Arial" w:cs="Arial"/>
          <w:sz w:val="18"/>
          <w:szCs w:val="18"/>
        </w:rPr>
      </w:pPr>
      <w:r w:rsidRPr="00181F71">
        <w:rPr>
          <w:rFonts w:ascii="Arial" w:hAnsi="Arial" w:cs="Arial"/>
          <w:sz w:val="18"/>
          <w:szCs w:val="18"/>
          <w:vertAlign w:val="superscript"/>
        </w:rPr>
        <w:t>1</w:t>
      </w:r>
      <w:r w:rsidRPr="00181F71">
        <w:rPr>
          <w:rFonts w:ascii="Arial" w:hAnsi="Arial" w:cs="Arial"/>
          <w:sz w:val="18"/>
          <w:szCs w:val="18"/>
        </w:rPr>
        <w:t>Department of Respiratory and Sleep Medicine, Royal Prince Alfred Hospital, NSW, Australia.</w:t>
      </w:r>
    </w:p>
    <w:p w14:paraId="6AEECE7E" w14:textId="77777777" w:rsidR="0023453A" w:rsidRPr="00181F71" w:rsidRDefault="0023453A" w:rsidP="0023453A">
      <w:pPr>
        <w:ind w:left="-709" w:right="-472"/>
        <w:jc w:val="both"/>
        <w:rPr>
          <w:rFonts w:ascii="Arial" w:hAnsi="Arial" w:cs="Arial"/>
          <w:sz w:val="18"/>
          <w:szCs w:val="18"/>
        </w:rPr>
      </w:pPr>
      <w:r w:rsidRPr="00181F71">
        <w:rPr>
          <w:rFonts w:ascii="Arial" w:hAnsi="Arial" w:cs="Arial"/>
          <w:sz w:val="18"/>
          <w:szCs w:val="18"/>
          <w:vertAlign w:val="superscript"/>
        </w:rPr>
        <w:t>2</w:t>
      </w:r>
      <w:r w:rsidRPr="00181F71">
        <w:rPr>
          <w:rFonts w:ascii="Arial" w:hAnsi="Arial" w:cs="Arial"/>
          <w:sz w:val="18"/>
          <w:szCs w:val="18"/>
        </w:rPr>
        <w:t>Faculty of Medicine and Health, University of Sydney, NSW, Australia.</w:t>
      </w:r>
    </w:p>
    <w:p w14:paraId="6674B593" w14:textId="77777777" w:rsidR="0023453A" w:rsidRPr="00181F71" w:rsidRDefault="0023453A" w:rsidP="0023453A">
      <w:pPr>
        <w:ind w:left="-709" w:right="-472"/>
        <w:jc w:val="both"/>
        <w:rPr>
          <w:rFonts w:ascii="Arial" w:hAnsi="Arial" w:cs="Arial"/>
          <w:sz w:val="18"/>
          <w:szCs w:val="18"/>
        </w:rPr>
      </w:pPr>
      <w:r w:rsidRPr="00181F71">
        <w:rPr>
          <w:rFonts w:ascii="Arial" w:hAnsi="Arial" w:cs="Arial"/>
          <w:sz w:val="18"/>
          <w:szCs w:val="18"/>
          <w:vertAlign w:val="superscript"/>
        </w:rPr>
        <w:t>3</w:t>
      </w:r>
      <w:r w:rsidRPr="00181F71">
        <w:rPr>
          <w:rFonts w:ascii="Arial" w:hAnsi="Arial" w:cs="Arial"/>
          <w:sz w:val="18"/>
          <w:szCs w:val="18"/>
        </w:rPr>
        <w:t>Centre of Research Excellence in Pulmonary Fibrosis, Australia.</w:t>
      </w:r>
    </w:p>
    <w:p w14:paraId="2666C7B5" w14:textId="77777777" w:rsidR="0023453A" w:rsidRPr="00181F71" w:rsidRDefault="0023453A" w:rsidP="0023453A">
      <w:pPr>
        <w:ind w:left="-709" w:right="-472"/>
        <w:jc w:val="both"/>
        <w:rPr>
          <w:rFonts w:ascii="Arial" w:hAnsi="Arial" w:cs="Arial"/>
          <w:sz w:val="18"/>
          <w:szCs w:val="18"/>
        </w:rPr>
      </w:pPr>
      <w:r w:rsidRPr="00181F71">
        <w:rPr>
          <w:rFonts w:ascii="Arial" w:hAnsi="Arial" w:cs="Arial"/>
          <w:sz w:val="18"/>
          <w:szCs w:val="18"/>
          <w:vertAlign w:val="superscript"/>
        </w:rPr>
        <w:t>4</w:t>
      </w:r>
      <w:r w:rsidRPr="00181F71">
        <w:rPr>
          <w:rFonts w:ascii="Arial" w:hAnsi="Arial" w:cs="Arial"/>
          <w:sz w:val="18"/>
          <w:szCs w:val="18"/>
        </w:rPr>
        <w:t xml:space="preserve">Department of Respiratory Medicine, Sydney Children’s Hospital, NSW, Australia.                                                                </w:t>
      </w:r>
    </w:p>
    <w:p w14:paraId="50083588" w14:textId="77777777" w:rsidR="0023453A" w:rsidRPr="00181F71" w:rsidRDefault="0023453A" w:rsidP="0023453A">
      <w:pPr>
        <w:ind w:left="-709" w:right="-472"/>
        <w:jc w:val="both"/>
        <w:rPr>
          <w:rFonts w:ascii="Arial" w:hAnsi="Arial" w:cs="Arial"/>
          <w:sz w:val="18"/>
          <w:szCs w:val="18"/>
          <w:lang w:val="en-AU"/>
        </w:rPr>
      </w:pPr>
      <w:r w:rsidRPr="00181F71">
        <w:rPr>
          <w:rFonts w:ascii="Arial" w:hAnsi="Arial" w:cs="Arial"/>
          <w:sz w:val="18"/>
          <w:szCs w:val="18"/>
          <w:vertAlign w:val="superscript"/>
        </w:rPr>
        <w:t>5</w:t>
      </w:r>
      <w:r w:rsidRPr="00181F71">
        <w:rPr>
          <w:rFonts w:ascii="Arial" w:hAnsi="Arial" w:cs="Arial"/>
          <w:sz w:val="18"/>
          <w:szCs w:val="18"/>
          <w:lang w:val="en-AU"/>
        </w:rPr>
        <w:t>School of Clinical Medicine, University of NSW, Sydney, Australia</w:t>
      </w:r>
    </w:p>
    <w:p w14:paraId="65FA86E2" w14:textId="77777777" w:rsidR="0023453A" w:rsidRDefault="0023453A" w:rsidP="0023453A">
      <w:pPr>
        <w:ind w:left="-709" w:right="-472"/>
        <w:rPr>
          <w:rFonts w:ascii="Arial" w:hAnsi="Arial" w:cs="Arial"/>
          <w:sz w:val="18"/>
          <w:szCs w:val="18"/>
        </w:rPr>
      </w:pPr>
      <w:r w:rsidRPr="00181F71">
        <w:rPr>
          <w:rFonts w:ascii="Arial" w:hAnsi="Arial" w:cs="Arial"/>
          <w:sz w:val="18"/>
          <w:szCs w:val="18"/>
          <w:vertAlign w:val="superscript"/>
        </w:rPr>
        <w:t>6</w:t>
      </w:r>
      <w:r w:rsidRPr="00181F71">
        <w:rPr>
          <w:rFonts w:ascii="Arial" w:hAnsi="Arial" w:cs="Arial"/>
          <w:sz w:val="18"/>
          <w:szCs w:val="18"/>
        </w:rPr>
        <w:t>4DMedical, Melbourne, Victoria, Australia</w:t>
      </w:r>
    </w:p>
    <w:p w14:paraId="57157C31" w14:textId="77777777" w:rsidR="0023453A" w:rsidRPr="00181F71" w:rsidRDefault="0023453A" w:rsidP="0023453A">
      <w:pPr>
        <w:ind w:left="-709" w:right="-4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7</w:t>
      </w:r>
      <w:r w:rsidRPr="00181F71">
        <w:rPr>
          <w:rFonts w:ascii="Arial" w:hAnsi="Arial" w:cs="Arial"/>
          <w:sz w:val="18"/>
          <w:szCs w:val="18"/>
        </w:rPr>
        <w:t>Department of Respiratory Medicine, Concord Hospital, NSW, Australia</w:t>
      </w:r>
    </w:p>
    <w:p w14:paraId="6E4A59CF" w14:textId="77777777" w:rsidR="0023453A" w:rsidRPr="00181F71" w:rsidRDefault="0023453A" w:rsidP="0023453A">
      <w:pPr>
        <w:ind w:left="-709" w:right="-4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8</w:t>
      </w:r>
      <w:r w:rsidRPr="00181F71">
        <w:rPr>
          <w:rFonts w:ascii="Arial" w:hAnsi="Arial" w:cs="Arial"/>
          <w:sz w:val="18"/>
          <w:szCs w:val="18"/>
        </w:rPr>
        <w:t>Research Imaging NSW, Division of Research &amp; Enterprise, UNSW Sydney, NSW, Australia</w:t>
      </w:r>
    </w:p>
    <w:p w14:paraId="2B9F6167" w14:textId="77777777" w:rsidR="002C34D5" w:rsidRPr="002C34D5" w:rsidRDefault="002C34D5" w:rsidP="00D37ED1">
      <w:pPr>
        <w:ind w:left="-709" w:right="-472"/>
        <w:rPr>
          <w:rFonts w:ascii="Arial" w:hAnsi="Arial" w:cs="Arial"/>
          <w:sz w:val="22"/>
          <w:szCs w:val="22"/>
          <w:lang w:val="en-NZ"/>
        </w:rPr>
      </w:pPr>
    </w:p>
    <w:p w14:paraId="6476A114" w14:textId="3CD0F67C" w:rsidR="002C34D5" w:rsidRPr="00D37ED1" w:rsidRDefault="002C34D5" w:rsidP="00D37ED1">
      <w:pPr>
        <w:ind w:left="-709" w:right="-472"/>
        <w:jc w:val="both"/>
        <w:rPr>
          <w:rFonts w:ascii="Arial" w:hAnsi="Arial" w:cs="Arial"/>
          <w:sz w:val="22"/>
          <w:szCs w:val="22"/>
        </w:rPr>
      </w:pPr>
      <w:r w:rsidRPr="00D37ED1">
        <w:rPr>
          <w:rStyle w:val="A4"/>
          <w:rFonts w:ascii="Arial" w:hAnsi="Arial" w:cs="Arial"/>
          <w:b/>
          <w:bCs/>
        </w:rPr>
        <w:t xml:space="preserve">Introduction: </w:t>
      </w:r>
      <w:r w:rsidRPr="00D37ED1">
        <w:rPr>
          <w:rFonts w:ascii="Arial" w:hAnsi="Arial" w:cs="Arial"/>
          <w:sz w:val="22"/>
          <w:szCs w:val="22"/>
        </w:rPr>
        <w:t>Idiopathic pulmonary fibrosis (IPF) is a progressive and irreversible lung disorder marked by fibrosis and loss of lung function. Whilst traditional pulmonary function testing (PFT) provides a global measure of lung function, it lacks the ability to assess dynamic changes across the breathing cycle. X-ray Velocimetry (XV) is an emerging imaging technique that quantifies regional lung ventilation using X-ray fluoroscopy, providing novel metrics</w:t>
      </w:r>
      <w:r w:rsidR="007347FE" w:rsidRPr="00D37ED1">
        <w:rPr>
          <w:rFonts w:ascii="Arial" w:hAnsi="Arial" w:cs="Arial"/>
          <w:sz w:val="22"/>
          <w:szCs w:val="22"/>
        </w:rPr>
        <w:t xml:space="preserve"> to assess regional </w:t>
      </w:r>
      <w:r w:rsidR="00404C90">
        <w:rPr>
          <w:rFonts w:ascii="Arial" w:hAnsi="Arial" w:cs="Arial"/>
          <w:sz w:val="22"/>
          <w:szCs w:val="22"/>
        </w:rPr>
        <w:t>differences in</w:t>
      </w:r>
      <w:r w:rsidR="007347FE" w:rsidRPr="00D37ED1">
        <w:rPr>
          <w:rFonts w:ascii="Arial" w:hAnsi="Arial" w:cs="Arial"/>
          <w:sz w:val="22"/>
          <w:szCs w:val="22"/>
        </w:rPr>
        <w:t xml:space="preserve"> lung ventilation and motion</w:t>
      </w:r>
      <w:r w:rsidRPr="00D37ED1">
        <w:rPr>
          <w:rFonts w:ascii="Arial" w:hAnsi="Arial" w:cs="Arial"/>
          <w:sz w:val="22"/>
          <w:szCs w:val="22"/>
        </w:rPr>
        <w:t>. This study explored the use of XV imaging in IPF.</w:t>
      </w:r>
    </w:p>
    <w:p w14:paraId="3D195F3C" w14:textId="77777777" w:rsidR="00D11111" w:rsidRPr="00D37ED1" w:rsidRDefault="00D11111" w:rsidP="00D37ED1">
      <w:pPr>
        <w:ind w:left="-709" w:right="-472"/>
        <w:jc w:val="both"/>
        <w:rPr>
          <w:rFonts w:ascii="Arial" w:hAnsi="Arial" w:cs="Arial"/>
          <w:sz w:val="22"/>
          <w:szCs w:val="22"/>
        </w:rPr>
      </w:pPr>
    </w:p>
    <w:p w14:paraId="57C3D353" w14:textId="6F56D510" w:rsidR="001149FF" w:rsidRPr="00D37ED1" w:rsidRDefault="002C34D5" w:rsidP="00D37ED1">
      <w:pPr>
        <w:ind w:left="-709" w:right="-472"/>
        <w:jc w:val="both"/>
        <w:rPr>
          <w:rFonts w:ascii="Arial" w:hAnsi="Arial" w:cs="Arial"/>
          <w:sz w:val="22"/>
          <w:szCs w:val="22"/>
          <w:lang w:val="en-AU"/>
        </w:rPr>
      </w:pPr>
      <w:r w:rsidRPr="00D37ED1">
        <w:rPr>
          <w:rStyle w:val="A4"/>
          <w:rFonts w:ascii="Arial" w:hAnsi="Arial" w:cs="Arial"/>
          <w:b/>
          <w:bCs/>
        </w:rPr>
        <w:t xml:space="preserve">Methods: </w:t>
      </w:r>
      <w:r w:rsidRPr="00D37ED1">
        <w:rPr>
          <w:rFonts w:ascii="Arial" w:hAnsi="Arial" w:cs="Arial"/>
          <w:sz w:val="22"/>
          <w:szCs w:val="22"/>
        </w:rPr>
        <w:t>IPF patients from the Royal Prince Alfred ILD outpatient clinic underwent PFT</w:t>
      </w:r>
      <w:r w:rsidR="00CF7A7A" w:rsidRPr="00D37ED1">
        <w:rPr>
          <w:rFonts w:ascii="Arial" w:hAnsi="Arial" w:cs="Arial"/>
          <w:sz w:val="22"/>
          <w:szCs w:val="22"/>
        </w:rPr>
        <w:t>, Multiple Breath Nitrogen Washout (MBNW)</w:t>
      </w:r>
      <w:r w:rsidRPr="00D37ED1">
        <w:rPr>
          <w:rFonts w:ascii="Arial" w:hAnsi="Arial" w:cs="Arial"/>
          <w:sz w:val="22"/>
          <w:szCs w:val="22"/>
        </w:rPr>
        <w:t xml:space="preserve"> and XV imaging between June-September 2025. </w:t>
      </w:r>
      <w:r w:rsidR="007347FE" w:rsidRPr="00D37ED1">
        <w:rPr>
          <w:rFonts w:ascii="Arial" w:hAnsi="Arial" w:cs="Arial"/>
          <w:sz w:val="22"/>
          <w:szCs w:val="22"/>
        </w:rPr>
        <w:t>C</w:t>
      </w:r>
      <w:r w:rsidRPr="00D37ED1">
        <w:rPr>
          <w:rFonts w:ascii="Arial" w:hAnsi="Arial" w:cs="Arial"/>
          <w:sz w:val="22"/>
          <w:szCs w:val="22"/>
        </w:rPr>
        <w:t xml:space="preserve">inefluorographic images were captured </w:t>
      </w:r>
      <w:r w:rsidR="007347FE" w:rsidRPr="00D37ED1">
        <w:rPr>
          <w:rFonts w:ascii="Arial" w:hAnsi="Arial" w:cs="Arial"/>
          <w:sz w:val="22"/>
          <w:szCs w:val="22"/>
        </w:rPr>
        <w:t xml:space="preserve">in the XV scanner </w:t>
      </w:r>
      <w:r w:rsidRPr="00D37ED1">
        <w:rPr>
          <w:rFonts w:ascii="Arial" w:hAnsi="Arial" w:cs="Arial"/>
          <w:sz w:val="22"/>
          <w:szCs w:val="22"/>
        </w:rPr>
        <w:t>from 4 synchronised angles during one tidal breathing cycle.</w:t>
      </w:r>
      <w:r w:rsidR="006743B3" w:rsidRPr="00D37ED1">
        <w:rPr>
          <w:rFonts w:ascii="Arial" w:hAnsi="Arial" w:cs="Arial"/>
          <w:sz w:val="22"/>
          <w:szCs w:val="22"/>
        </w:rPr>
        <w:t xml:space="preserve"> </w:t>
      </w:r>
      <w:r w:rsidRPr="00D37ED1">
        <w:rPr>
          <w:rFonts w:ascii="Arial" w:hAnsi="Arial" w:cs="Arial"/>
          <w:sz w:val="22"/>
          <w:szCs w:val="22"/>
        </w:rPr>
        <w:t>XV metrics</w:t>
      </w:r>
      <w:r w:rsidR="007347FE" w:rsidRPr="00D37ED1">
        <w:rPr>
          <w:rFonts w:ascii="Arial" w:hAnsi="Arial" w:cs="Arial"/>
          <w:sz w:val="22"/>
          <w:szCs w:val="22"/>
        </w:rPr>
        <w:t xml:space="preserve"> including mean specific ventilation (MSV), ventilation defect percentage (VDP), ventilation heterogeneity (VH), tidal volume (</w:t>
      </w:r>
      <w:r w:rsidR="00681794">
        <w:rPr>
          <w:rFonts w:ascii="Arial" w:hAnsi="Arial" w:cs="Arial"/>
          <w:sz w:val="22"/>
          <w:szCs w:val="22"/>
        </w:rPr>
        <w:t>TVXV</w:t>
      </w:r>
      <w:r w:rsidR="007347FE" w:rsidRPr="00D37ED1">
        <w:rPr>
          <w:rFonts w:ascii="Arial" w:hAnsi="Arial" w:cs="Arial"/>
          <w:sz w:val="22"/>
          <w:szCs w:val="22"/>
        </w:rPr>
        <w:t xml:space="preserve">), and low ventilation region percentage (LVRP) </w:t>
      </w:r>
      <w:r w:rsidRPr="00D37ED1">
        <w:rPr>
          <w:rFonts w:ascii="Arial" w:hAnsi="Arial" w:cs="Arial"/>
          <w:sz w:val="22"/>
          <w:szCs w:val="22"/>
        </w:rPr>
        <w:t xml:space="preserve">were generated by 4D Medical </w:t>
      </w:r>
      <w:r w:rsidR="006743B3" w:rsidRPr="00D37ED1">
        <w:rPr>
          <w:rFonts w:ascii="Arial" w:hAnsi="Arial" w:cs="Arial"/>
          <w:sz w:val="22"/>
          <w:szCs w:val="22"/>
        </w:rPr>
        <w:t>using</w:t>
      </w:r>
      <w:r w:rsidRPr="00D37ED1">
        <w:rPr>
          <w:rFonts w:ascii="Arial" w:hAnsi="Arial" w:cs="Arial"/>
          <w:sz w:val="22"/>
          <w:szCs w:val="22"/>
        </w:rPr>
        <w:t xml:space="preserve"> </w:t>
      </w:r>
      <w:r w:rsidR="007347FE" w:rsidRPr="00D37ED1">
        <w:rPr>
          <w:rFonts w:ascii="Arial" w:hAnsi="Arial" w:cs="Arial"/>
          <w:sz w:val="22"/>
          <w:szCs w:val="22"/>
        </w:rPr>
        <w:t>XV images and historical</w:t>
      </w:r>
      <w:r w:rsidRPr="00D37ED1">
        <w:rPr>
          <w:rFonts w:ascii="Arial" w:hAnsi="Arial" w:cs="Arial"/>
          <w:sz w:val="22"/>
          <w:szCs w:val="22"/>
        </w:rPr>
        <w:t xml:space="preserve"> </w:t>
      </w:r>
      <w:r w:rsidR="007347FE" w:rsidRPr="00D37ED1">
        <w:rPr>
          <w:rFonts w:ascii="Arial" w:hAnsi="Arial" w:cs="Arial"/>
          <w:sz w:val="22"/>
          <w:szCs w:val="22"/>
        </w:rPr>
        <w:t>HRCTs performed within 12</w:t>
      </w:r>
      <w:r w:rsidR="00FB3A54">
        <w:rPr>
          <w:rFonts w:ascii="Arial" w:hAnsi="Arial" w:cs="Arial"/>
          <w:sz w:val="22"/>
          <w:szCs w:val="22"/>
        </w:rPr>
        <w:t>-24</w:t>
      </w:r>
      <w:r w:rsidR="007347FE" w:rsidRPr="00D37ED1">
        <w:rPr>
          <w:rFonts w:ascii="Arial" w:hAnsi="Arial" w:cs="Arial"/>
          <w:sz w:val="22"/>
          <w:szCs w:val="22"/>
        </w:rPr>
        <w:t>months. Associations</w:t>
      </w:r>
      <w:r w:rsidRPr="00D37ED1">
        <w:rPr>
          <w:rFonts w:ascii="Arial" w:hAnsi="Arial" w:cs="Arial"/>
          <w:sz w:val="22"/>
          <w:szCs w:val="22"/>
        </w:rPr>
        <w:t xml:space="preserve"> between traditional PFT and XV metrics </w:t>
      </w:r>
      <w:r w:rsidR="007347FE" w:rsidRPr="00D37ED1">
        <w:rPr>
          <w:rFonts w:ascii="Arial" w:hAnsi="Arial" w:cs="Arial"/>
          <w:sz w:val="22"/>
          <w:szCs w:val="22"/>
        </w:rPr>
        <w:t>were evaluated and comparisons between</w:t>
      </w:r>
      <w:r w:rsidRPr="00D37ED1">
        <w:rPr>
          <w:rFonts w:ascii="Arial" w:hAnsi="Arial" w:cs="Arial"/>
          <w:sz w:val="22"/>
          <w:szCs w:val="22"/>
        </w:rPr>
        <w:t xml:space="preserve"> mild (FVC≥70%) and moderate-severe IPF groups</w:t>
      </w:r>
      <w:r w:rsidR="001938DB" w:rsidRPr="00D37ED1">
        <w:rPr>
          <w:rFonts w:ascii="Arial" w:hAnsi="Arial" w:cs="Arial"/>
          <w:sz w:val="22"/>
          <w:szCs w:val="22"/>
        </w:rPr>
        <w:t xml:space="preserve"> </w:t>
      </w:r>
      <w:r w:rsidRPr="00D37ED1">
        <w:rPr>
          <w:rFonts w:ascii="Arial" w:hAnsi="Arial" w:cs="Arial"/>
          <w:sz w:val="22"/>
          <w:szCs w:val="22"/>
        </w:rPr>
        <w:t>(FVC</w:t>
      </w:r>
      <w:r w:rsidRPr="00D37ED1">
        <w:rPr>
          <w:rFonts w:ascii="Arial" w:hAnsi="Arial" w:cs="Arial"/>
          <w:sz w:val="22"/>
          <w:szCs w:val="22"/>
          <w:lang w:val="en-AU"/>
        </w:rPr>
        <w:t>&lt;70%)</w:t>
      </w:r>
      <w:r w:rsidR="007347FE" w:rsidRPr="00D37ED1">
        <w:rPr>
          <w:rFonts w:ascii="Arial" w:hAnsi="Arial" w:cs="Arial"/>
          <w:sz w:val="22"/>
          <w:szCs w:val="22"/>
          <w:lang w:val="en-AU"/>
        </w:rPr>
        <w:t xml:space="preserve"> were made</w:t>
      </w:r>
      <w:r w:rsidRPr="00D37ED1">
        <w:rPr>
          <w:rFonts w:ascii="Arial" w:hAnsi="Arial" w:cs="Arial"/>
          <w:sz w:val="22"/>
          <w:szCs w:val="22"/>
          <w:lang w:val="en-AU"/>
        </w:rPr>
        <w:t>.</w:t>
      </w:r>
    </w:p>
    <w:p w14:paraId="180AA4CF" w14:textId="1FC53514" w:rsidR="002C34D5" w:rsidRPr="00D37ED1" w:rsidRDefault="002C34D5" w:rsidP="00D37ED1">
      <w:pPr>
        <w:pStyle w:val="Pa12"/>
        <w:spacing w:line="240" w:lineRule="auto"/>
        <w:ind w:left="-709" w:right="-472"/>
        <w:jc w:val="both"/>
        <w:rPr>
          <w:rStyle w:val="A4"/>
          <w:bCs/>
          <w:lang w:val="en-AU"/>
        </w:rPr>
      </w:pPr>
    </w:p>
    <w:p w14:paraId="0C6002F1" w14:textId="2A9486C2" w:rsidR="002C34D5" w:rsidRPr="00D37ED1" w:rsidRDefault="002C34D5" w:rsidP="00020E1F">
      <w:pPr>
        <w:ind w:left="-709" w:right="-472"/>
        <w:jc w:val="both"/>
        <w:rPr>
          <w:rFonts w:ascii="Arial" w:hAnsi="Arial" w:cs="Arial"/>
          <w:color w:val="000000"/>
          <w:sz w:val="22"/>
          <w:szCs w:val="22"/>
        </w:rPr>
      </w:pPr>
      <w:r w:rsidRPr="00D37ED1">
        <w:rPr>
          <w:rStyle w:val="A4"/>
          <w:rFonts w:ascii="Arial" w:hAnsi="Arial" w:cs="Arial"/>
          <w:b/>
          <w:bCs/>
        </w:rPr>
        <w:t xml:space="preserve">Results: </w:t>
      </w:r>
      <w:r w:rsidRPr="00D37ED1">
        <w:rPr>
          <w:rFonts w:ascii="Arial" w:hAnsi="Arial" w:cs="Arial"/>
          <w:sz w:val="22"/>
          <w:szCs w:val="22"/>
          <w:lang w:val="en-US"/>
        </w:rPr>
        <w:t xml:space="preserve">Eight IPF patients were included: </w:t>
      </w:r>
      <w:r w:rsidR="00CF7A7A" w:rsidRPr="00D37ED1">
        <w:rPr>
          <w:rFonts w:ascii="Arial" w:hAnsi="Arial" w:cs="Arial"/>
          <w:sz w:val="22"/>
          <w:szCs w:val="22"/>
          <w:lang w:val="en-US"/>
        </w:rPr>
        <w:t>m</w:t>
      </w:r>
      <w:r w:rsidRPr="00D37ED1">
        <w:rPr>
          <w:rFonts w:ascii="Arial" w:hAnsi="Arial" w:cs="Arial"/>
          <w:sz w:val="22"/>
          <w:szCs w:val="22"/>
          <w:lang w:val="en-US"/>
        </w:rPr>
        <w:t>ean</w:t>
      </w:r>
      <w:r w:rsidR="00C53F30">
        <w:rPr>
          <w:rFonts w:ascii="Arial" w:hAnsi="Arial" w:cs="Arial"/>
          <w:sz w:val="22"/>
          <w:szCs w:val="22"/>
          <w:lang w:val="en-US"/>
        </w:rPr>
        <w:t>-</w:t>
      </w:r>
      <w:r w:rsidRPr="00D37ED1">
        <w:rPr>
          <w:rStyle w:val="A4"/>
          <w:rFonts w:ascii="Arial" w:hAnsi="Arial" w:cs="Arial"/>
        </w:rPr>
        <w:t xml:space="preserve">age </w:t>
      </w:r>
      <w:r w:rsidRPr="00D37ED1">
        <w:rPr>
          <w:rFonts w:ascii="Arial" w:hAnsi="Arial" w:cs="Arial"/>
          <w:color w:val="000000"/>
          <w:sz w:val="22"/>
          <w:szCs w:val="22"/>
        </w:rPr>
        <w:t>69±4yrs, 7</w:t>
      </w:r>
      <w:r w:rsidR="00D37ED1" w:rsidRPr="00D37ED1">
        <w:rPr>
          <w:rFonts w:ascii="Arial" w:hAnsi="Arial" w:cs="Arial"/>
          <w:color w:val="000000"/>
          <w:sz w:val="22"/>
          <w:szCs w:val="22"/>
        </w:rPr>
        <w:t>5</w:t>
      </w:r>
      <w:r w:rsidRPr="00D37ED1">
        <w:rPr>
          <w:rFonts w:ascii="Arial" w:hAnsi="Arial" w:cs="Arial"/>
          <w:color w:val="000000"/>
          <w:sz w:val="22"/>
          <w:szCs w:val="22"/>
        </w:rPr>
        <w:t>% male, mean</w:t>
      </w:r>
      <w:r w:rsidR="00C53F30">
        <w:rPr>
          <w:rFonts w:ascii="Arial" w:hAnsi="Arial" w:cs="Arial"/>
          <w:color w:val="000000"/>
          <w:sz w:val="22"/>
          <w:szCs w:val="22"/>
        </w:rPr>
        <w:t>-</w:t>
      </w:r>
      <w:r w:rsidRPr="00D37ED1">
        <w:rPr>
          <w:rFonts w:ascii="Arial" w:hAnsi="Arial" w:cs="Arial"/>
          <w:color w:val="000000"/>
          <w:sz w:val="22"/>
          <w:szCs w:val="22"/>
        </w:rPr>
        <w:t>FEV1%</w:t>
      </w:r>
      <w:r w:rsidR="006743B3" w:rsidRPr="00D37ED1">
        <w:rPr>
          <w:rFonts w:ascii="Arial" w:hAnsi="Arial" w:cs="Arial"/>
          <w:color w:val="000000"/>
          <w:sz w:val="22"/>
          <w:szCs w:val="22"/>
        </w:rPr>
        <w:t xml:space="preserve"> </w:t>
      </w:r>
      <w:r w:rsidR="007347FE" w:rsidRPr="00D37ED1">
        <w:rPr>
          <w:rFonts w:ascii="Arial" w:hAnsi="Arial" w:cs="Arial"/>
          <w:color w:val="000000"/>
          <w:sz w:val="22"/>
          <w:szCs w:val="22"/>
        </w:rPr>
        <w:t xml:space="preserve">predicted </w:t>
      </w:r>
      <w:r w:rsidR="006743B3" w:rsidRPr="00D37ED1">
        <w:rPr>
          <w:rFonts w:ascii="Arial" w:hAnsi="Arial" w:cs="Arial"/>
          <w:color w:val="000000"/>
          <w:sz w:val="22"/>
          <w:szCs w:val="22"/>
        </w:rPr>
        <w:t>81±27%</w:t>
      </w:r>
      <w:r w:rsidRPr="00D37ED1">
        <w:rPr>
          <w:rFonts w:ascii="Arial" w:hAnsi="Arial" w:cs="Arial"/>
          <w:color w:val="000000"/>
          <w:sz w:val="22"/>
          <w:szCs w:val="22"/>
        </w:rPr>
        <w:t>,</w:t>
      </w:r>
      <w:r w:rsidR="00C53F30">
        <w:rPr>
          <w:rFonts w:ascii="Arial" w:hAnsi="Arial" w:cs="Arial"/>
          <w:color w:val="000000"/>
          <w:sz w:val="22"/>
          <w:szCs w:val="22"/>
        </w:rPr>
        <w:t xml:space="preserve"> </w:t>
      </w:r>
      <w:r w:rsidRPr="00D37ED1">
        <w:rPr>
          <w:rFonts w:ascii="Arial" w:hAnsi="Arial" w:cs="Arial"/>
          <w:color w:val="000000"/>
          <w:sz w:val="22"/>
          <w:szCs w:val="22"/>
        </w:rPr>
        <w:t>FVC%</w:t>
      </w:r>
      <w:r w:rsidR="007347FE" w:rsidRPr="00D37ED1">
        <w:rPr>
          <w:rFonts w:ascii="Arial" w:hAnsi="Arial" w:cs="Arial"/>
          <w:color w:val="000000"/>
          <w:sz w:val="22"/>
          <w:szCs w:val="22"/>
        </w:rPr>
        <w:t xml:space="preserve"> predicted</w:t>
      </w:r>
      <w:r w:rsidRPr="00D37ED1">
        <w:rPr>
          <w:rFonts w:ascii="Arial" w:hAnsi="Arial" w:cs="Arial"/>
          <w:color w:val="000000"/>
          <w:sz w:val="22"/>
          <w:szCs w:val="22"/>
        </w:rPr>
        <w:t xml:space="preserve"> 78±30%</w:t>
      </w:r>
      <w:r w:rsidR="00C53F30">
        <w:rPr>
          <w:rFonts w:ascii="Arial" w:hAnsi="Arial" w:cs="Arial"/>
          <w:color w:val="000000"/>
          <w:sz w:val="22"/>
          <w:szCs w:val="22"/>
        </w:rPr>
        <w:t xml:space="preserve">, </w:t>
      </w:r>
      <w:r w:rsidRPr="00D37ED1">
        <w:rPr>
          <w:rFonts w:ascii="Arial" w:hAnsi="Arial" w:cs="Arial"/>
          <w:color w:val="000000"/>
          <w:sz w:val="22"/>
          <w:szCs w:val="22"/>
        </w:rPr>
        <w:t xml:space="preserve">DLCO% </w:t>
      </w:r>
      <w:r w:rsidR="007347FE" w:rsidRPr="00D37ED1">
        <w:rPr>
          <w:rFonts w:ascii="Arial" w:hAnsi="Arial" w:cs="Arial"/>
          <w:color w:val="000000"/>
          <w:sz w:val="22"/>
          <w:szCs w:val="22"/>
        </w:rPr>
        <w:t xml:space="preserve">predicted </w:t>
      </w:r>
      <w:r w:rsidRPr="00D37ED1">
        <w:rPr>
          <w:rFonts w:ascii="Arial" w:hAnsi="Arial" w:cs="Arial"/>
          <w:color w:val="000000"/>
          <w:sz w:val="22"/>
          <w:szCs w:val="22"/>
        </w:rPr>
        <w:t>60±15%</w:t>
      </w:r>
      <w:r w:rsidR="00CF7A7A" w:rsidRPr="00D37ED1">
        <w:rPr>
          <w:rFonts w:ascii="Arial" w:hAnsi="Arial" w:cs="Arial"/>
          <w:color w:val="000000"/>
          <w:sz w:val="22"/>
          <w:szCs w:val="22"/>
        </w:rPr>
        <w:t xml:space="preserve">, </w:t>
      </w:r>
      <w:r w:rsidR="00D37ED1">
        <w:rPr>
          <w:rFonts w:ascii="Arial" w:hAnsi="Arial" w:cs="Arial"/>
          <w:color w:val="000000"/>
          <w:sz w:val="22"/>
          <w:szCs w:val="22"/>
        </w:rPr>
        <w:t>MBNW-</w:t>
      </w:r>
      <w:r w:rsidR="00CF7A7A" w:rsidRPr="00D37ED1">
        <w:rPr>
          <w:rFonts w:ascii="Arial" w:hAnsi="Arial" w:cs="Arial"/>
          <w:color w:val="000000"/>
          <w:sz w:val="22"/>
          <w:szCs w:val="22"/>
        </w:rPr>
        <w:t>TV 699±119ml</w:t>
      </w:r>
      <w:r w:rsidR="007347FE" w:rsidRPr="00D37ED1">
        <w:rPr>
          <w:rFonts w:ascii="Arial" w:hAnsi="Arial" w:cs="Arial"/>
          <w:color w:val="000000"/>
          <w:sz w:val="22"/>
          <w:szCs w:val="22"/>
        </w:rPr>
        <w:t>. XV metrics included:</w:t>
      </w:r>
      <w:r w:rsidR="00CF7A7A" w:rsidRPr="00D37ED1">
        <w:rPr>
          <w:rFonts w:ascii="Arial" w:hAnsi="Arial" w:cs="Arial"/>
          <w:color w:val="000000"/>
          <w:sz w:val="22"/>
          <w:szCs w:val="22"/>
        </w:rPr>
        <w:t xml:space="preserve"> MSV: 0.18±0.05, VDP: 11±5%, VH: 40±12%, </w:t>
      </w:r>
      <w:r w:rsidR="00681794">
        <w:rPr>
          <w:rFonts w:ascii="Arial" w:hAnsi="Arial" w:cs="Arial"/>
          <w:color w:val="000000"/>
          <w:sz w:val="22"/>
          <w:szCs w:val="22"/>
        </w:rPr>
        <w:t>TVXV</w:t>
      </w:r>
      <w:r w:rsidR="00CF7A7A" w:rsidRPr="00D37ED1">
        <w:rPr>
          <w:rFonts w:ascii="Arial" w:hAnsi="Arial" w:cs="Arial"/>
          <w:color w:val="000000"/>
          <w:sz w:val="22"/>
          <w:szCs w:val="22"/>
        </w:rPr>
        <w:t xml:space="preserve"> 512±159ml</w:t>
      </w:r>
      <w:r w:rsidR="007347FE" w:rsidRPr="00D37ED1">
        <w:rPr>
          <w:rFonts w:ascii="Arial" w:hAnsi="Arial" w:cs="Arial"/>
          <w:color w:val="000000"/>
          <w:sz w:val="22"/>
          <w:szCs w:val="22"/>
        </w:rPr>
        <w:t xml:space="preserve"> and</w:t>
      </w:r>
      <w:r w:rsidR="00CF7A7A" w:rsidRPr="00D37ED1">
        <w:rPr>
          <w:rFonts w:ascii="Arial" w:hAnsi="Arial" w:cs="Arial"/>
          <w:color w:val="000000"/>
          <w:sz w:val="22"/>
          <w:szCs w:val="22"/>
        </w:rPr>
        <w:t xml:space="preserve"> </w:t>
      </w:r>
      <w:r w:rsidR="00431EE5" w:rsidRPr="00D37ED1">
        <w:rPr>
          <w:rFonts w:ascii="Arial" w:hAnsi="Arial" w:cs="Arial"/>
          <w:color w:val="000000"/>
          <w:sz w:val="22"/>
          <w:szCs w:val="22"/>
        </w:rPr>
        <w:t>LVRP</w:t>
      </w:r>
      <w:r w:rsidR="007347FE" w:rsidRPr="00D37ED1">
        <w:rPr>
          <w:rFonts w:ascii="Arial" w:hAnsi="Arial" w:cs="Arial"/>
          <w:color w:val="000000"/>
          <w:sz w:val="22"/>
          <w:szCs w:val="22"/>
        </w:rPr>
        <w:t xml:space="preserve"> </w:t>
      </w:r>
      <w:r w:rsidR="00431EE5" w:rsidRPr="00D37ED1">
        <w:rPr>
          <w:rFonts w:ascii="Arial" w:hAnsi="Arial" w:cs="Arial"/>
          <w:color w:val="000000"/>
          <w:sz w:val="22"/>
          <w:szCs w:val="22"/>
        </w:rPr>
        <w:t xml:space="preserve">10±9%. </w:t>
      </w:r>
      <w:r w:rsidR="007347FE" w:rsidRPr="00D37ED1">
        <w:rPr>
          <w:rFonts w:ascii="Arial" w:hAnsi="Arial" w:cs="Arial"/>
          <w:color w:val="000000"/>
          <w:sz w:val="22"/>
          <w:szCs w:val="22"/>
        </w:rPr>
        <w:t>TVXV correlated strongly with both FEV1% (R</w:t>
      </w:r>
      <w:r w:rsidR="00576EFA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7347FE" w:rsidRPr="00D37ED1">
        <w:rPr>
          <w:rFonts w:ascii="Arial" w:hAnsi="Arial" w:cs="Arial"/>
          <w:color w:val="000000"/>
          <w:sz w:val="22"/>
          <w:szCs w:val="22"/>
        </w:rPr>
        <w:t>=0.97, p&lt;0.001) and FVC% (R</w:t>
      </w:r>
      <w:r w:rsidR="00576EFA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7347FE" w:rsidRPr="00D37ED1">
        <w:rPr>
          <w:rFonts w:ascii="Arial" w:hAnsi="Arial" w:cs="Arial"/>
          <w:color w:val="000000"/>
          <w:sz w:val="22"/>
          <w:szCs w:val="22"/>
        </w:rPr>
        <w:t>=0.96, p&lt;0.001) and MSV correlated with FEV1% (R</w:t>
      </w:r>
      <w:r w:rsidR="00576EFA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7347FE" w:rsidRPr="00D37ED1">
        <w:rPr>
          <w:rFonts w:ascii="Arial" w:hAnsi="Arial" w:cs="Arial"/>
          <w:color w:val="000000"/>
          <w:sz w:val="22"/>
          <w:szCs w:val="22"/>
        </w:rPr>
        <w:t>=0.72, p=0.04) and FVC (R</w:t>
      </w:r>
      <w:r w:rsidR="00576EFA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7347FE" w:rsidRPr="00D37ED1">
        <w:rPr>
          <w:rFonts w:ascii="Arial" w:hAnsi="Arial" w:cs="Arial"/>
          <w:color w:val="000000"/>
          <w:sz w:val="22"/>
          <w:szCs w:val="22"/>
        </w:rPr>
        <w:t xml:space="preserve">=0.70, p=0.06). VDP and VH correlated strongly with lower FEV1/FVC ratio (Table 1). LVRP was not associated with traditional PFT. </w:t>
      </w:r>
      <w:r w:rsidR="00CC46DF" w:rsidRPr="00D37ED1">
        <w:rPr>
          <w:rFonts w:ascii="Arial" w:hAnsi="Arial" w:cs="Arial"/>
          <w:color w:val="000000"/>
          <w:sz w:val="22"/>
          <w:szCs w:val="22"/>
        </w:rPr>
        <w:t>TV</w:t>
      </w:r>
      <w:r w:rsidR="007347FE" w:rsidRPr="00D37ED1">
        <w:rPr>
          <w:rFonts w:ascii="Arial" w:hAnsi="Arial" w:cs="Arial"/>
          <w:color w:val="000000"/>
          <w:sz w:val="22"/>
          <w:szCs w:val="22"/>
        </w:rPr>
        <w:t>XV</w:t>
      </w:r>
      <w:r w:rsidR="00CC46DF" w:rsidRPr="00D37ED1">
        <w:rPr>
          <w:rFonts w:ascii="Arial" w:hAnsi="Arial" w:cs="Arial"/>
          <w:color w:val="000000"/>
          <w:sz w:val="22"/>
          <w:szCs w:val="22"/>
        </w:rPr>
        <w:t xml:space="preserve"> was lower </w:t>
      </w:r>
      <w:r w:rsidRPr="00D37ED1">
        <w:rPr>
          <w:rFonts w:ascii="Arial" w:hAnsi="Arial" w:cs="Arial"/>
          <w:color w:val="000000"/>
          <w:sz w:val="22"/>
          <w:szCs w:val="22"/>
        </w:rPr>
        <w:t xml:space="preserve">in patients with </w:t>
      </w:r>
      <w:r w:rsidR="007347FE" w:rsidRPr="00D37ED1">
        <w:rPr>
          <w:rFonts w:ascii="Arial" w:hAnsi="Arial" w:cs="Arial"/>
          <w:color w:val="000000"/>
          <w:sz w:val="22"/>
          <w:szCs w:val="22"/>
        </w:rPr>
        <w:t>moderately-</w:t>
      </w:r>
      <w:r w:rsidRPr="00D37ED1">
        <w:rPr>
          <w:rFonts w:ascii="Arial" w:hAnsi="Arial" w:cs="Arial"/>
          <w:color w:val="000000"/>
          <w:sz w:val="22"/>
          <w:szCs w:val="22"/>
        </w:rPr>
        <w:t xml:space="preserve">severe </w:t>
      </w:r>
      <w:r w:rsidR="007347FE" w:rsidRPr="00D37ED1">
        <w:rPr>
          <w:rFonts w:ascii="Arial" w:hAnsi="Arial" w:cs="Arial"/>
          <w:color w:val="000000"/>
          <w:sz w:val="22"/>
          <w:szCs w:val="22"/>
        </w:rPr>
        <w:t>compared to mild disease (</w:t>
      </w:r>
      <w:r w:rsidR="00376BAA">
        <w:rPr>
          <w:rFonts w:ascii="Arial" w:hAnsi="Arial" w:cs="Arial"/>
          <w:color w:val="000000"/>
          <w:sz w:val="22"/>
          <w:szCs w:val="22"/>
        </w:rPr>
        <w:t>419</w:t>
      </w:r>
      <w:r w:rsidR="00D37ED1" w:rsidRPr="00D37ED1">
        <w:rPr>
          <w:rFonts w:ascii="Arial" w:hAnsi="Arial" w:cs="Arial"/>
          <w:color w:val="000000"/>
          <w:sz w:val="22"/>
          <w:szCs w:val="22"/>
        </w:rPr>
        <w:t>ml</w:t>
      </w:r>
      <w:r w:rsidR="007347FE" w:rsidRPr="00D37ED1">
        <w:rPr>
          <w:rFonts w:ascii="Arial" w:hAnsi="Arial" w:cs="Arial"/>
          <w:color w:val="000000"/>
          <w:sz w:val="22"/>
          <w:szCs w:val="22"/>
        </w:rPr>
        <w:t xml:space="preserve"> vs </w:t>
      </w:r>
      <w:r w:rsidR="001B46D2">
        <w:rPr>
          <w:rFonts w:ascii="Arial" w:hAnsi="Arial" w:cs="Arial"/>
          <w:color w:val="000000"/>
          <w:sz w:val="22"/>
          <w:szCs w:val="22"/>
        </w:rPr>
        <w:t>667</w:t>
      </w:r>
      <w:r w:rsidR="00D37ED1" w:rsidRPr="00D37ED1">
        <w:rPr>
          <w:rFonts w:ascii="Arial" w:hAnsi="Arial" w:cs="Arial"/>
          <w:color w:val="000000"/>
          <w:sz w:val="22"/>
          <w:szCs w:val="22"/>
        </w:rPr>
        <w:t>ml</w:t>
      </w:r>
      <w:r w:rsidR="007347FE" w:rsidRPr="00D37ED1">
        <w:rPr>
          <w:rFonts w:ascii="Arial" w:hAnsi="Arial" w:cs="Arial"/>
          <w:color w:val="000000"/>
          <w:sz w:val="22"/>
          <w:szCs w:val="22"/>
        </w:rPr>
        <w:t>, p=0.025</w:t>
      </w:r>
      <w:r w:rsidR="00D37ED1" w:rsidRPr="00D37ED1">
        <w:rPr>
          <w:rFonts w:ascii="Arial" w:hAnsi="Arial" w:cs="Arial"/>
          <w:color w:val="000000"/>
          <w:sz w:val="22"/>
          <w:szCs w:val="22"/>
        </w:rPr>
        <w:t>).</w:t>
      </w:r>
      <w:r w:rsidRPr="00D37ED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0890A47" w14:textId="77777777" w:rsidR="002C34D5" w:rsidRPr="00D37ED1" w:rsidRDefault="002C34D5" w:rsidP="00D37ED1">
      <w:pPr>
        <w:pStyle w:val="Pa12"/>
        <w:spacing w:line="240" w:lineRule="auto"/>
        <w:ind w:left="-709" w:right="-472"/>
        <w:jc w:val="both"/>
        <w:rPr>
          <w:rStyle w:val="A4"/>
          <w:bCs/>
          <w:lang w:val="en-GB" w:eastAsia="en-US"/>
        </w:rPr>
      </w:pPr>
    </w:p>
    <w:p w14:paraId="4C47C642" w14:textId="57403DEA" w:rsidR="002C34D5" w:rsidRDefault="002C34D5" w:rsidP="00D37ED1">
      <w:pPr>
        <w:pStyle w:val="Pa12"/>
        <w:spacing w:line="240" w:lineRule="auto"/>
        <w:ind w:left="-709" w:right="-472"/>
        <w:jc w:val="both"/>
        <w:rPr>
          <w:color w:val="000000"/>
          <w:sz w:val="22"/>
          <w:szCs w:val="22"/>
          <w:lang w:val="en-GB"/>
        </w:rPr>
      </w:pPr>
      <w:r w:rsidRPr="00D37ED1">
        <w:rPr>
          <w:rStyle w:val="A4"/>
          <w:b/>
          <w:bCs/>
        </w:rPr>
        <w:t xml:space="preserve">Conclusion: </w:t>
      </w:r>
      <w:r w:rsidRPr="00D37ED1">
        <w:rPr>
          <w:color w:val="000000"/>
          <w:sz w:val="22"/>
          <w:szCs w:val="22"/>
          <w:lang w:val="en-GB"/>
        </w:rPr>
        <w:t>XV</w:t>
      </w:r>
      <w:r w:rsidR="007347FE" w:rsidRPr="00D37ED1">
        <w:rPr>
          <w:color w:val="000000"/>
          <w:sz w:val="22"/>
          <w:szCs w:val="22"/>
          <w:lang w:val="en-GB"/>
        </w:rPr>
        <w:t xml:space="preserve"> imaging provides novel metrics to assess regional </w:t>
      </w:r>
      <w:r w:rsidR="00BD196D">
        <w:rPr>
          <w:color w:val="000000"/>
          <w:sz w:val="22"/>
          <w:szCs w:val="22"/>
          <w:lang w:val="en-GB"/>
        </w:rPr>
        <w:t>differences in</w:t>
      </w:r>
      <w:r w:rsidR="007347FE" w:rsidRPr="00D37ED1">
        <w:rPr>
          <w:color w:val="000000"/>
          <w:sz w:val="22"/>
          <w:szCs w:val="22"/>
          <w:lang w:val="en-GB"/>
        </w:rPr>
        <w:t xml:space="preserve"> lung ventilation. In IPF patients, these metrics may provide some physiological insight similar to traditional PFT.</w:t>
      </w:r>
      <w:r w:rsidRPr="00D37ED1">
        <w:rPr>
          <w:color w:val="000000"/>
          <w:sz w:val="22"/>
          <w:szCs w:val="22"/>
          <w:lang w:val="en-GB"/>
        </w:rPr>
        <w:t xml:space="preserve"> </w:t>
      </w:r>
    </w:p>
    <w:p w14:paraId="433637E1" w14:textId="77777777" w:rsidR="00020E1F" w:rsidRDefault="00020E1F" w:rsidP="00020E1F">
      <w:pPr>
        <w:pStyle w:val="Default"/>
        <w:rPr>
          <w:lang w:val="en-GB"/>
        </w:rPr>
      </w:pPr>
    </w:p>
    <w:p w14:paraId="38360D28" w14:textId="4B1CA7C1" w:rsidR="00020E1F" w:rsidRPr="00020E1F" w:rsidRDefault="00020E1F" w:rsidP="00020E1F">
      <w:pPr>
        <w:pStyle w:val="Default"/>
        <w:ind w:left="-709"/>
        <w:rPr>
          <w:sz w:val="22"/>
          <w:szCs w:val="22"/>
          <w:lang w:val="en-GB"/>
        </w:rPr>
      </w:pPr>
      <w:r w:rsidRPr="00020E1F">
        <w:rPr>
          <w:b/>
          <w:bCs/>
          <w:sz w:val="22"/>
          <w:szCs w:val="22"/>
          <w:lang w:val="en-GB"/>
        </w:rPr>
        <w:t xml:space="preserve">Key words: </w:t>
      </w:r>
      <w:r>
        <w:rPr>
          <w:sz w:val="22"/>
          <w:szCs w:val="22"/>
          <w:lang w:val="en-GB"/>
        </w:rPr>
        <w:t>Lung assessment,</w:t>
      </w:r>
      <w:r w:rsidR="00DC747E">
        <w:rPr>
          <w:sz w:val="22"/>
          <w:szCs w:val="22"/>
          <w:lang w:val="en-GB"/>
        </w:rPr>
        <w:t xml:space="preserve"> XV</w:t>
      </w:r>
      <w:r>
        <w:rPr>
          <w:sz w:val="22"/>
          <w:szCs w:val="22"/>
          <w:lang w:val="en-GB"/>
        </w:rPr>
        <w:t xml:space="preserve"> Imaging, ILD, IPF</w:t>
      </w:r>
    </w:p>
    <w:p w14:paraId="59FA461C" w14:textId="77777777" w:rsidR="00704867" w:rsidRPr="00D37ED1" w:rsidRDefault="00704867" w:rsidP="00D37ED1">
      <w:pPr>
        <w:pStyle w:val="Default"/>
        <w:jc w:val="both"/>
        <w:rPr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page" w:horzAnchor="margin" w:tblpXSpec="center" w:tblpY="12541"/>
        <w:tblOverlap w:val="never"/>
        <w:tblW w:w="10910" w:type="dxa"/>
        <w:tblLook w:val="04A0" w:firstRow="1" w:lastRow="0" w:firstColumn="1" w:lastColumn="0" w:noHBand="0" w:noVBand="1"/>
      </w:tblPr>
      <w:tblGrid>
        <w:gridCol w:w="1838"/>
        <w:gridCol w:w="1843"/>
        <w:gridCol w:w="1723"/>
        <w:gridCol w:w="1821"/>
        <w:gridCol w:w="1842"/>
        <w:gridCol w:w="1843"/>
      </w:tblGrid>
      <w:tr w:rsidR="00ED0965" w:rsidRPr="00D37ED1" w14:paraId="62097557" w14:textId="77777777" w:rsidTr="00ED0965">
        <w:tc>
          <w:tcPr>
            <w:tcW w:w="10910" w:type="dxa"/>
            <w:gridSpan w:val="6"/>
          </w:tcPr>
          <w:p w14:paraId="0FD7BA0E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b/>
                <w:bCs/>
                <w:lang w:val="en-GB" w:eastAsia="en-US"/>
              </w:rPr>
            </w:pPr>
            <w:r w:rsidRPr="00D37ED1">
              <w:rPr>
                <w:b/>
                <w:bCs/>
                <w:color w:val="000000"/>
                <w:sz w:val="22"/>
                <w:szCs w:val="22"/>
                <w:lang w:val="en-GB" w:eastAsia="en-US"/>
              </w:rPr>
              <w:t>Pearson’s correlation between pulmonary function test parameters and XV imaging metrics</w:t>
            </w:r>
          </w:p>
        </w:tc>
      </w:tr>
      <w:tr w:rsidR="00ED0965" w:rsidRPr="00D37ED1" w14:paraId="2D8BD20E" w14:textId="77777777" w:rsidTr="00ED0965">
        <w:tc>
          <w:tcPr>
            <w:tcW w:w="1838" w:type="dxa"/>
          </w:tcPr>
          <w:p w14:paraId="1FE764AC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b/>
                <w:bCs/>
                <w:lang w:val="en-GB" w:eastAsia="en-US"/>
              </w:rPr>
            </w:pPr>
            <w:r w:rsidRPr="00D37ED1">
              <w:rPr>
                <w:rStyle w:val="A4"/>
                <w:b/>
                <w:bCs/>
                <w:lang w:val="en-GB" w:eastAsia="en-US"/>
              </w:rPr>
              <w:t>T</w:t>
            </w:r>
            <w:r w:rsidRPr="00D37ED1">
              <w:rPr>
                <w:rStyle w:val="A4"/>
                <w:b/>
                <w:bCs/>
                <w:lang w:val="en-GB"/>
              </w:rPr>
              <w:t>able 1</w:t>
            </w:r>
          </w:p>
        </w:tc>
        <w:tc>
          <w:tcPr>
            <w:tcW w:w="9072" w:type="dxa"/>
            <w:gridSpan w:val="5"/>
          </w:tcPr>
          <w:p w14:paraId="0B0DDAB4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b/>
                <w:bCs/>
                <w:lang w:val="en-GB" w:eastAsia="en-US"/>
              </w:rPr>
            </w:pPr>
            <w:r w:rsidRPr="00D37ED1">
              <w:rPr>
                <w:rStyle w:val="A4"/>
                <w:b/>
                <w:bCs/>
                <w:lang w:val="en-GB" w:eastAsia="en-US"/>
              </w:rPr>
              <w:t>XV imaging metrics</w:t>
            </w:r>
          </w:p>
        </w:tc>
      </w:tr>
      <w:tr w:rsidR="00ED0965" w:rsidRPr="00D37ED1" w14:paraId="19B775C5" w14:textId="77777777" w:rsidTr="00ED0965">
        <w:tc>
          <w:tcPr>
            <w:tcW w:w="1838" w:type="dxa"/>
          </w:tcPr>
          <w:p w14:paraId="6806326F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b/>
                <w:bCs/>
                <w:lang w:val="en-GB" w:eastAsia="en-US"/>
              </w:rPr>
            </w:pPr>
            <w:r w:rsidRPr="00D37ED1">
              <w:rPr>
                <w:rStyle w:val="A4"/>
                <w:b/>
                <w:bCs/>
                <w:lang w:val="en-GB" w:eastAsia="en-US"/>
              </w:rPr>
              <w:t>Pulmonary Function Test</w:t>
            </w:r>
          </w:p>
        </w:tc>
        <w:tc>
          <w:tcPr>
            <w:tcW w:w="1843" w:type="dxa"/>
          </w:tcPr>
          <w:p w14:paraId="50C9B3E0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color w:val="000000"/>
                <w:sz w:val="22"/>
                <w:szCs w:val="22"/>
                <w:lang w:val="en-GB" w:eastAsia="en-US"/>
              </w:rPr>
              <w:t>Ventilation defect percentages (%)</w:t>
            </w:r>
          </w:p>
        </w:tc>
        <w:tc>
          <w:tcPr>
            <w:tcW w:w="1723" w:type="dxa"/>
          </w:tcPr>
          <w:p w14:paraId="65067343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Mean specific ventilation (ml/ml)</w:t>
            </w:r>
          </w:p>
        </w:tc>
        <w:tc>
          <w:tcPr>
            <w:tcW w:w="1821" w:type="dxa"/>
          </w:tcPr>
          <w:p w14:paraId="4380B7D8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Tidal volume (ml)</w:t>
            </w:r>
          </w:p>
        </w:tc>
        <w:tc>
          <w:tcPr>
            <w:tcW w:w="1842" w:type="dxa"/>
          </w:tcPr>
          <w:p w14:paraId="3C199F87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Ventilation heterogeneity (%)</w:t>
            </w:r>
          </w:p>
        </w:tc>
        <w:tc>
          <w:tcPr>
            <w:tcW w:w="1843" w:type="dxa"/>
          </w:tcPr>
          <w:p w14:paraId="3E09D183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Low ventilation region (%)</w:t>
            </w:r>
          </w:p>
        </w:tc>
      </w:tr>
      <w:tr w:rsidR="00ED0965" w:rsidRPr="00D37ED1" w14:paraId="151BECBF" w14:textId="77777777" w:rsidTr="00ED0965">
        <w:tc>
          <w:tcPr>
            <w:tcW w:w="1838" w:type="dxa"/>
          </w:tcPr>
          <w:p w14:paraId="2E2DBE9D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FEV1% predicted</w:t>
            </w:r>
          </w:p>
        </w:tc>
        <w:tc>
          <w:tcPr>
            <w:tcW w:w="1843" w:type="dxa"/>
          </w:tcPr>
          <w:p w14:paraId="2BF661C8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=0.137, p=0.747</w:t>
            </w:r>
          </w:p>
        </w:tc>
        <w:tc>
          <w:tcPr>
            <w:tcW w:w="1723" w:type="dxa"/>
          </w:tcPr>
          <w:p w14:paraId="2611F9D8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=0.722, p=0.043</w:t>
            </w:r>
          </w:p>
        </w:tc>
        <w:tc>
          <w:tcPr>
            <w:tcW w:w="1821" w:type="dxa"/>
          </w:tcPr>
          <w:p w14:paraId="1AAA9230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=0.968, p&lt;0.001</w:t>
            </w:r>
          </w:p>
        </w:tc>
        <w:tc>
          <w:tcPr>
            <w:tcW w:w="1842" w:type="dxa"/>
          </w:tcPr>
          <w:p w14:paraId="1CB6F031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=0.265, p=0.527</w:t>
            </w:r>
          </w:p>
        </w:tc>
        <w:tc>
          <w:tcPr>
            <w:tcW w:w="1843" w:type="dxa"/>
          </w:tcPr>
          <w:p w14:paraId="3129367B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=-0.273, p=0.514</w:t>
            </w:r>
          </w:p>
        </w:tc>
      </w:tr>
      <w:tr w:rsidR="00ED0965" w:rsidRPr="00D37ED1" w14:paraId="40728104" w14:textId="77777777" w:rsidTr="00ED0965">
        <w:tc>
          <w:tcPr>
            <w:tcW w:w="1838" w:type="dxa"/>
          </w:tcPr>
          <w:p w14:paraId="6B56099D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FVC % predicted</w:t>
            </w:r>
          </w:p>
        </w:tc>
        <w:tc>
          <w:tcPr>
            <w:tcW w:w="1843" w:type="dxa"/>
          </w:tcPr>
          <w:p w14:paraId="5EBBCF02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=0.192, p=0.648</w:t>
            </w:r>
          </w:p>
        </w:tc>
        <w:tc>
          <w:tcPr>
            <w:tcW w:w="1723" w:type="dxa"/>
          </w:tcPr>
          <w:p w14:paraId="66016D0C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=0.695, p=0.056</w:t>
            </w:r>
          </w:p>
        </w:tc>
        <w:tc>
          <w:tcPr>
            <w:tcW w:w="1821" w:type="dxa"/>
          </w:tcPr>
          <w:p w14:paraId="5FC13FB9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=0.963, p&lt;0.001</w:t>
            </w:r>
          </w:p>
        </w:tc>
        <w:tc>
          <w:tcPr>
            <w:tcW w:w="1842" w:type="dxa"/>
          </w:tcPr>
          <w:p w14:paraId="13B6784C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=0.311, p=0.454</w:t>
            </w:r>
          </w:p>
        </w:tc>
        <w:tc>
          <w:tcPr>
            <w:tcW w:w="1843" w:type="dxa"/>
          </w:tcPr>
          <w:p w14:paraId="5A31B826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=-0.209, p=0.620</w:t>
            </w:r>
          </w:p>
        </w:tc>
      </w:tr>
      <w:tr w:rsidR="00ED0965" w:rsidRPr="00D37ED1" w14:paraId="1F930ECD" w14:textId="77777777" w:rsidTr="00ED0965">
        <w:trPr>
          <w:trHeight w:val="70"/>
        </w:trPr>
        <w:tc>
          <w:tcPr>
            <w:tcW w:w="1838" w:type="dxa"/>
          </w:tcPr>
          <w:p w14:paraId="03CC4FEC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 xml:space="preserve">FEV1/FVC % </w:t>
            </w:r>
          </w:p>
        </w:tc>
        <w:tc>
          <w:tcPr>
            <w:tcW w:w="1843" w:type="dxa"/>
          </w:tcPr>
          <w:p w14:paraId="5022BF90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=-0.790, p=0.020</w:t>
            </w:r>
          </w:p>
        </w:tc>
        <w:tc>
          <w:tcPr>
            <w:tcW w:w="1723" w:type="dxa"/>
          </w:tcPr>
          <w:p w14:paraId="601BE54E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=-0.247, p=0.555</w:t>
            </w:r>
          </w:p>
        </w:tc>
        <w:tc>
          <w:tcPr>
            <w:tcW w:w="1821" w:type="dxa"/>
          </w:tcPr>
          <w:p w14:paraId="2938D40E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=-0.456, p=0.256</w:t>
            </w:r>
          </w:p>
        </w:tc>
        <w:tc>
          <w:tcPr>
            <w:tcW w:w="1842" w:type="dxa"/>
          </w:tcPr>
          <w:p w14:paraId="042BD416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=-0.841, p=0.009</w:t>
            </w:r>
          </w:p>
        </w:tc>
        <w:tc>
          <w:tcPr>
            <w:tcW w:w="1843" w:type="dxa"/>
          </w:tcPr>
          <w:p w14:paraId="20740FE9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=-0.459, p=0.252</w:t>
            </w:r>
          </w:p>
        </w:tc>
      </w:tr>
      <w:tr w:rsidR="00ED0965" w:rsidRPr="00D37ED1" w14:paraId="42E33555" w14:textId="77777777" w:rsidTr="00ED0965">
        <w:trPr>
          <w:trHeight w:val="70"/>
        </w:trPr>
        <w:tc>
          <w:tcPr>
            <w:tcW w:w="1838" w:type="dxa"/>
          </w:tcPr>
          <w:p w14:paraId="67AB87F1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DLCO % predicted</w:t>
            </w:r>
          </w:p>
        </w:tc>
        <w:tc>
          <w:tcPr>
            <w:tcW w:w="1843" w:type="dxa"/>
          </w:tcPr>
          <w:p w14:paraId="3A8B0E9B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=-0.026, p=0.956</w:t>
            </w:r>
          </w:p>
        </w:tc>
        <w:tc>
          <w:tcPr>
            <w:tcW w:w="1723" w:type="dxa"/>
          </w:tcPr>
          <w:p w14:paraId="03BC12ED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=0.223, p=0.630</w:t>
            </w:r>
          </w:p>
        </w:tc>
        <w:tc>
          <w:tcPr>
            <w:tcW w:w="1821" w:type="dxa"/>
          </w:tcPr>
          <w:p w14:paraId="612EAD91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=0.514, p=0.238</w:t>
            </w:r>
          </w:p>
        </w:tc>
        <w:tc>
          <w:tcPr>
            <w:tcW w:w="1842" w:type="dxa"/>
          </w:tcPr>
          <w:p w14:paraId="56C5789A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=0.063, r=0.893</w:t>
            </w:r>
          </w:p>
        </w:tc>
        <w:tc>
          <w:tcPr>
            <w:tcW w:w="1843" w:type="dxa"/>
          </w:tcPr>
          <w:p w14:paraId="70B09F7B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=-0.081, p=0.863</w:t>
            </w:r>
          </w:p>
        </w:tc>
      </w:tr>
      <w:tr w:rsidR="00ED0965" w:rsidRPr="00D37ED1" w14:paraId="13EAF86E" w14:textId="77777777" w:rsidTr="00ED0965">
        <w:tc>
          <w:tcPr>
            <w:tcW w:w="1838" w:type="dxa"/>
          </w:tcPr>
          <w:p w14:paraId="2181DD44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>
              <w:rPr>
                <w:rStyle w:val="A4"/>
                <w:lang w:val="en-GB" w:eastAsia="en-US"/>
              </w:rPr>
              <w:t>M</w:t>
            </w:r>
            <w:r>
              <w:rPr>
                <w:rStyle w:val="A4"/>
                <w:lang w:val="en-GB"/>
              </w:rPr>
              <w:t>BNW-</w:t>
            </w:r>
            <w:r w:rsidRPr="00D37ED1">
              <w:rPr>
                <w:rStyle w:val="A4"/>
                <w:lang w:val="en-GB" w:eastAsia="en-US"/>
              </w:rPr>
              <w:t>Tidal volume (ml)</w:t>
            </w:r>
          </w:p>
        </w:tc>
        <w:tc>
          <w:tcPr>
            <w:tcW w:w="1843" w:type="dxa"/>
          </w:tcPr>
          <w:p w14:paraId="0E1235F3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=-0.128, p=0.785</w:t>
            </w:r>
          </w:p>
        </w:tc>
        <w:tc>
          <w:tcPr>
            <w:tcW w:w="1723" w:type="dxa"/>
          </w:tcPr>
          <w:p w14:paraId="6BAC6040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=0.042, p=0.929</w:t>
            </w:r>
          </w:p>
        </w:tc>
        <w:tc>
          <w:tcPr>
            <w:tcW w:w="1821" w:type="dxa"/>
          </w:tcPr>
          <w:p w14:paraId="4EF56133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>
              <w:rPr>
                <w:rStyle w:val="A4"/>
                <w:lang w:val="en-GB" w:eastAsia="en-US"/>
              </w:rPr>
              <w:t>=-</w:t>
            </w:r>
            <w:r w:rsidRPr="00D37ED1">
              <w:rPr>
                <w:rStyle w:val="A4"/>
                <w:lang w:val="en-GB" w:eastAsia="en-US"/>
              </w:rPr>
              <w:t>0.030, p=0.949</w:t>
            </w:r>
          </w:p>
        </w:tc>
        <w:tc>
          <w:tcPr>
            <w:tcW w:w="1842" w:type="dxa"/>
          </w:tcPr>
          <w:p w14:paraId="369EB55F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=-0.167, p=0.720</w:t>
            </w:r>
          </w:p>
        </w:tc>
        <w:tc>
          <w:tcPr>
            <w:tcW w:w="1843" w:type="dxa"/>
          </w:tcPr>
          <w:p w14:paraId="01A0E12C" w14:textId="77777777" w:rsidR="00ED0965" w:rsidRPr="00D37ED1" w:rsidRDefault="00ED0965" w:rsidP="00ED0965">
            <w:pPr>
              <w:pStyle w:val="Pa12"/>
              <w:jc w:val="both"/>
              <w:rPr>
                <w:rStyle w:val="A4"/>
                <w:lang w:val="en-GB" w:eastAsia="en-US"/>
              </w:rPr>
            </w:pPr>
            <w:r w:rsidRPr="00D37ED1">
              <w:rPr>
                <w:rStyle w:val="A4"/>
                <w:lang w:val="en-GB" w:eastAsia="en-US"/>
              </w:rPr>
              <w:t>R</w:t>
            </w:r>
            <w:r>
              <w:rPr>
                <w:rStyle w:val="A4"/>
                <w:vertAlign w:val="superscript"/>
                <w:lang w:val="en-GB" w:eastAsia="en-US"/>
              </w:rPr>
              <w:t>2</w:t>
            </w:r>
            <w:r w:rsidRPr="00D37ED1">
              <w:rPr>
                <w:rStyle w:val="A4"/>
                <w:lang w:val="en-GB" w:eastAsia="en-US"/>
              </w:rPr>
              <w:t>=-0.118, p=0.801</w:t>
            </w:r>
          </w:p>
        </w:tc>
      </w:tr>
    </w:tbl>
    <w:p w14:paraId="1E5FDB27" w14:textId="476A869F" w:rsidR="00704867" w:rsidRPr="00B8557E" w:rsidRDefault="002C34D5" w:rsidP="00B8557E">
      <w:pPr>
        <w:pStyle w:val="Pa12"/>
        <w:spacing w:line="240" w:lineRule="auto"/>
        <w:ind w:left="-709" w:right="-472"/>
        <w:jc w:val="both"/>
        <w:rPr>
          <w:sz w:val="22"/>
          <w:szCs w:val="22"/>
          <w:lang w:val="en-US"/>
        </w:rPr>
      </w:pPr>
      <w:r w:rsidRPr="00D37ED1">
        <w:rPr>
          <w:rStyle w:val="A4"/>
          <w:b/>
          <w:bCs/>
        </w:rPr>
        <w:t xml:space="preserve">Grant Support: </w:t>
      </w:r>
      <w:r w:rsidRPr="00D37ED1">
        <w:rPr>
          <w:sz w:val="22"/>
          <w:szCs w:val="22"/>
          <w:lang w:val="en-US"/>
        </w:rPr>
        <w:t>This project was supported by the Sydney Local Health District and Centre of Research Excellence in Pulmonary Fibrosis, funded by NHMRC (GNT1116371 and GNT2015613),</w:t>
      </w:r>
      <w:r w:rsidR="001B46D2">
        <w:rPr>
          <w:sz w:val="22"/>
          <w:szCs w:val="22"/>
          <w:lang w:val="en-US"/>
        </w:rPr>
        <w:t xml:space="preserve"> MRFF Grant RFR</w:t>
      </w:r>
      <w:r w:rsidR="00B73871">
        <w:rPr>
          <w:sz w:val="22"/>
          <w:szCs w:val="22"/>
          <w:lang w:val="en-US"/>
        </w:rPr>
        <w:t>HPSI000013,</w:t>
      </w:r>
      <w:r w:rsidRPr="00D37ED1">
        <w:rPr>
          <w:sz w:val="22"/>
          <w:szCs w:val="22"/>
          <w:lang w:val="en-US"/>
        </w:rPr>
        <w:t xml:space="preserve"> Lung Foundation Australia and anonymous philanthropy.</w:t>
      </w:r>
    </w:p>
    <w:sectPr w:rsidR="00704867" w:rsidRPr="00B8557E" w:rsidSect="00020E1F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13"/>
    <w:rsid w:val="00002B38"/>
    <w:rsid w:val="00020E1F"/>
    <w:rsid w:val="000715C3"/>
    <w:rsid w:val="00086BF1"/>
    <w:rsid w:val="001149FF"/>
    <w:rsid w:val="00133CE0"/>
    <w:rsid w:val="001502A7"/>
    <w:rsid w:val="001938DB"/>
    <w:rsid w:val="001A10C1"/>
    <w:rsid w:val="001B46D2"/>
    <w:rsid w:val="001D56A4"/>
    <w:rsid w:val="002306C8"/>
    <w:rsid w:val="0023453A"/>
    <w:rsid w:val="002837A6"/>
    <w:rsid w:val="002B4988"/>
    <w:rsid w:val="002C34D5"/>
    <w:rsid w:val="00306124"/>
    <w:rsid w:val="00323005"/>
    <w:rsid w:val="00361F7E"/>
    <w:rsid w:val="00376BAA"/>
    <w:rsid w:val="003E4718"/>
    <w:rsid w:val="003F0690"/>
    <w:rsid w:val="00404C90"/>
    <w:rsid w:val="00431EE5"/>
    <w:rsid w:val="00446497"/>
    <w:rsid w:val="00455399"/>
    <w:rsid w:val="00487EC0"/>
    <w:rsid w:val="004D32DB"/>
    <w:rsid w:val="0055418E"/>
    <w:rsid w:val="00576EFA"/>
    <w:rsid w:val="00580678"/>
    <w:rsid w:val="005953CD"/>
    <w:rsid w:val="005B3C80"/>
    <w:rsid w:val="005D2B38"/>
    <w:rsid w:val="00623C1E"/>
    <w:rsid w:val="006438E9"/>
    <w:rsid w:val="006743B3"/>
    <w:rsid w:val="00681794"/>
    <w:rsid w:val="006D4713"/>
    <w:rsid w:val="006F1216"/>
    <w:rsid w:val="00704867"/>
    <w:rsid w:val="007347FE"/>
    <w:rsid w:val="00752808"/>
    <w:rsid w:val="00781F1D"/>
    <w:rsid w:val="00786B4E"/>
    <w:rsid w:val="007A2B31"/>
    <w:rsid w:val="007B5E76"/>
    <w:rsid w:val="00954232"/>
    <w:rsid w:val="009656B9"/>
    <w:rsid w:val="00986A7F"/>
    <w:rsid w:val="00A0483C"/>
    <w:rsid w:val="00A13970"/>
    <w:rsid w:val="00AA0E12"/>
    <w:rsid w:val="00B62D8B"/>
    <w:rsid w:val="00B73871"/>
    <w:rsid w:val="00B8557E"/>
    <w:rsid w:val="00BD196D"/>
    <w:rsid w:val="00BF6A01"/>
    <w:rsid w:val="00C53F30"/>
    <w:rsid w:val="00C91C8C"/>
    <w:rsid w:val="00CA0A3F"/>
    <w:rsid w:val="00CC46DF"/>
    <w:rsid w:val="00CF7A7A"/>
    <w:rsid w:val="00D02B65"/>
    <w:rsid w:val="00D11111"/>
    <w:rsid w:val="00D37ED1"/>
    <w:rsid w:val="00D82B11"/>
    <w:rsid w:val="00DA6FCF"/>
    <w:rsid w:val="00DC747E"/>
    <w:rsid w:val="00DD174E"/>
    <w:rsid w:val="00DD1A1F"/>
    <w:rsid w:val="00E26F59"/>
    <w:rsid w:val="00E560A7"/>
    <w:rsid w:val="00ED0965"/>
    <w:rsid w:val="00EE3EA8"/>
    <w:rsid w:val="00F16FFC"/>
    <w:rsid w:val="00F87BA0"/>
    <w:rsid w:val="00FA52FC"/>
    <w:rsid w:val="00FB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AC7F"/>
  <w15:docId w15:val="{88FE7ED1-9FFF-479E-AC81-1F38E9E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D4713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C3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34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34D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F87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704867"/>
    <w:pPr>
      <w:spacing w:after="0" w:line="240" w:lineRule="auto"/>
    </w:pPr>
    <w:rPr>
      <w:rFonts w:ascii="Atlas Grotesk Regular" w:hAnsi="Atlas Grotesk Regular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7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7FE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9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628FC7-8A9A-4B71-8A4B-0FE982C9D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BD194-A1E0-4107-8F2F-F5DDCC7D135A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onsite6</dc:creator>
  <cp:lastModifiedBy>Mymy Tran</cp:lastModifiedBy>
  <cp:revision>17</cp:revision>
  <dcterms:created xsi:type="dcterms:W3CDTF">2025-10-08T00:17:00Z</dcterms:created>
  <dcterms:modified xsi:type="dcterms:W3CDTF">2025-10-08T06:10:00Z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