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385B9D" w14:paraId="3CA33060" w14:textId="77777777" w:rsidTr="009F4EA0">
        <w:tc>
          <w:tcPr>
            <w:tcW w:w="8640" w:type="dxa"/>
            <w:shd w:val="clear" w:color="auto" w:fill="F2F2F2" w:themeFill="background1" w:themeFillShade="F2"/>
          </w:tcPr>
          <w:p w14:paraId="429CED59" w14:textId="45614AAC" w:rsidR="00922B51" w:rsidRPr="00385B9D" w:rsidRDefault="00385B9D" w:rsidP="00385B9D">
            <w:pPr>
              <w:jc w:val="both"/>
              <w:rPr>
                <w:rFonts w:ascii="Arial" w:hAnsi="Arial" w:cs="Arial"/>
                <w:bCs/>
                <w:i/>
                <w:iCs/>
                <w:sz w:val="22"/>
                <w:szCs w:val="22"/>
              </w:rPr>
            </w:pPr>
            <w:r w:rsidRPr="00385B9D">
              <w:rPr>
                <w:rFonts w:ascii="Arial" w:hAnsi="Arial" w:cs="Arial"/>
                <w:bCs/>
                <w:i/>
                <w:iCs/>
                <w:sz w:val="22"/>
                <w:szCs w:val="22"/>
              </w:rPr>
              <w:t>Paper</w:t>
            </w:r>
          </w:p>
          <w:p w14:paraId="5A80F6ED" w14:textId="77777777" w:rsidR="00D4446E" w:rsidRPr="00385B9D" w:rsidRDefault="00D4446E" w:rsidP="00385B9D">
            <w:pPr>
              <w:jc w:val="both"/>
              <w:rPr>
                <w:rFonts w:asciiTheme="minorBidi" w:hAnsiTheme="minorBidi"/>
                <w:b/>
                <w:bCs/>
                <w:sz w:val="22"/>
                <w:szCs w:val="22"/>
              </w:rPr>
            </w:pPr>
            <w:r w:rsidRPr="00385B9D">
              <w:rPr>
                <w:rFonts w:asciiTheme="minorBidi" w:hAnsiTheme="minorBidi"/>
                <w:b/>
                <w:bCs/>
                <w:sz w:val="22"/>
                <w:szCs w:val="22"/>
              </w:rPr>
              <w:t>Creating Long-Term Adaptation in Coastal Peri-Urban Regions through Small-Scale, Design-Based Interventions</w:t>
            </w:r>
          </w:p>
          <w:p w14:paraId="3F7D1534" w14:textId="77777777" w:rsidR="00C8423A" w:rsidRPr="00385B9D" w:rsidRDefault="00C8423A" w:rsidP="00385B9D">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A02D15">
            <w:pPr>
              <w:jc w:val="both"/>
              <w:rPr>
                <w:rFonts w:ascii="Arial" w:hAnsi="Arial" w:cs="Arial"/>
                <w:b/>
                <w:sz w:val="22"/>
                <w:szCs w:val="22"/>
              </w:rPr>
            </w:pPr>
          </w:p>
          <w:p w14:paraId="131A5F05" w14:textId="77777777" w:rsidR="0065012F" w:rsidRDefault="0065012F" w:rsidP="00A02D15">
            <w:pPr>
              <w:jc w:val="both"/>
              <w:rPr>
                <w:rFonts w:ascii="Arial" w:hAnsi="Arial" w:cs="Arial"/>
                <w:b/>
                <w:sz w:val="22"/>
                <w:szCs w:val="22"/>
              </w:rPr>
            </w:pPr>
            <w:r w:rsidRPr="0065012F">
              <w:rPr>
                <w:rFonts w:ascii="Arial" w:hAnsi="Arial" w:cs="Arial"/>
                <w:b/>
                <w:sz w:val="22"/>
                <w:szCs w:val="22"/>
              </w:rPr>
              <w:t>Introduction</w:t>
            </w:r>
          </w:p>
          <w:p w14:paraId="7897F60C" w14:textId="444B2025" w:rsidR="00D4446E" w:rsidRPr="00A02D15" w:rsidRDefault="00D4446E" w:rsidP="00A02D15">
            <w:pPr>
              <w:jc w:val="both"/>
              <w:rPr>
                <w:rFonts w:asciiTheme="minorBidi" w:hAnsiTheme="minorBidi"/>
                <w:sz w:val="22"/>
                <w:szCs w:val="22"/>
              </w:rPr>
            </w:pPr>
            <w:r w:rsidRPr="00A02D15">
              <w:rPr>
                <w:rFonts w:asciiTheme="minorBidi" w:hAnsiTheme="minorBidi"/>
                <w:sz w:val="22"/>
                <w:szCs w:val="22"/>
              </w:rPr>
              <w:t>Coastal peri-urban regions in Australia are the most vulnerable to sea-level rise and flooding</w:t>
            </w:r>
            <w:r w:rsidR="00343BA0">
              <w:rPr>
                <w:rFonts w:asciiTheme="minorBidi" w:hAnsiTheme="minorBidi"/>
                <w:sz w:val="22"/>
                <w:szCs w:val="22"/>
              </w:rPr>
              <w:t xml:space="preserve"> </w:t>
            </w:r>
            <w:r w:rsidR="00864473" w:rsidRPr="00864473">
              <w:rPr>
                <w:rFonts w:asciiTheme="minorBidi" w:hAnsiTheme="minorBidi"/>
                <w:sz w:val="22"/>
                <w:szCs w:val="22"/>
              </w:rPr>
              <w:t>(</w:t>
            </w:r>
            <w:r w:rsidR="00864473" w:rsidRPr="00864473">
              <w:rPr>
                <w:rFonts w:asciiTheme="minorBidi" w:hAnsiTheme="minorBidi"/>
                <w:i/>
                <w:iCs/>
              </w:rPr>
              <w:t>Asbridge et al. 2021</w:t>
            </w:r>
            <w:r w:rsidR="00864473" w:rsidRPr="00864473">
              <w:rPr>
                <w:rFonts w:asciiTheme="minorBidi" w:hAnsiTheme="minorBidi"/>
                <w:sz w:val="22"/>
                <w:szCs w:val="22"/>
              </w:rPr>
              <w:t>)</w:t>
            </w:r>
            <w:r w:rsidRPr="00A02D15">
              <w:rPr>
                <w:rFonts w:asciiTheme="minorBidi" w:hAnsiTheme="minorBidi"/>
                <w:sz w:val="22"/>
                <w:szCs w:val="22"/>
              </w:rPr>
              <w:t xml:space="preserve"> because they have less capacity for adaptation than metropolitan areas. These regions are crucial to the resilience of urban areas economically and environmentally</w:t>
            </w:r>
            <w:r w:rsidR="00864473">
              <w:rPr>
                <w:rFonts w:asciiTheme="minorBidi" w:hAnsiTheme="minorBidi"/>
                <w:sz w:val="22"/>
                <w:szCs w:val="22"/>
              </w:rPr>
              <w:t xml:space="preserve"> (</w:t>
            </w:r>
            <w:r w:rsidR="00864473" w:rsidRPr="000F54DB">
              <w:rPr>
                <w:rFonts w:asciiTheme="minorBidi" w:hAnsiTheme="minorBidi"/>
                <w:i/>
                <w:iCs/>
              </w:rPr>
              <w:t>Butt, A. 2024</w:t>
            </w:r>
            <w:r w:rsidR="00864473">
              <w:rPr>
                <w:rFonts w:asciiTheme="minorBidi" w:hAnsiTheme="minorBidi"/>
                <w:sz w:val="22"/>
                <w:szCs w:val="22"/>
              </w:rPr>
              <w:t>)</w:t>
            </w:r>
            <w:r w:rsidRPr="00A02D15">
              <w:rPr>
                <w:rFonts w:asciiTheme="minorBidi" w:hAnsiTheme="minorBidi"/>
                <w:sz w:val="22"/>
                <w:szCs w:val="22"/>
              </w:rPr>
              <w:t>, so adaptation efforts are essential to the functional sustainability of these regions. Due to their complex interplay of regulatory, economic, and social forces, adaptation efforts must be multifaceted, long-term, continuous, and multigenerational. While there is increasing recognition of interdisciplinary and community-engaged adaptation strategies</w:t>
            </w:r>
            <w:r w:rsidR="00ED751B">
              <w:rPr>
                <w:rFonts w:asciiTheme="minorBidi" w:hAnsiTheme="minorBidi"/>
                <w:sz w:val="22"/>
                <w:szCs w:val="22"/>
              </w:rPr>
              <w:t xml:space="preserve"> (</w:t>
            </w:r>
            <w:r w:rsidR="00ED751B" w:rsidRPr="00ED751B">
              <w:rPr>
                <w:rFonts w:asciiTheme="minorBidi" w:hAnsiTheme="minorBidi"/>
                <w:i/>
                <w:iCs/>
              </w:rPr>
              <w:t>Pasteur, K. 2010</w:t>
            </w:r>
            <w:r w:rsidR="00ED751B" w:rsidRPr="00ED751B">
              <w:rPr>
                <w:rFonts w:ascii="Arial" w:hAnsi="Arial" w:cs="Arial"/>
                <w:sz w:val="22"/>
                <w:szCs w:val="22"/>
                <w:lang w:val="en-CA"/>
              </w:rPr>
              <w:t>)</w:t>
            </w:r>
            <w:r w:rsidRPr="00A02D15">
              <w:rPr>
                <w:rFonts w:asciiTheme="minorBidi" w:hAnsiTheme="minorBidi"/>
                <w:sz w:val="22"/>
                <w:szCs w:val="22"/>
              </w:rPr>
              <w:t>, there is little understanding of how to sustain and evolve them.</w:t>
            </w:r>
          </w:p>
          <w:p w14:paraId="4806BFDB" w14:textId="77777777" w:rsidR="0065012F" w:rsidRDefault="0065012F" w:rsidP="00A02D15">
            <w:pPr>
              <w:jc w:val="both"/>
              <w:rPr>
                <w:rFonts w:ascii="Arial" w:hAnsi="Arial" w:cs="Arial"/>
                <w:b/>
                <w:sz w:val="22"/>
                <w:szCs w:val="22"/>
              </w:rPr>
            </w:pPr>
          </w:p>
          <w:p w14:paraId="5DE13B32" w14:textId="77777777" w:rsidR="0065012F" w:rsidRDefault="0065012F" w:rsidP="00A02D15">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2F0A003" w14:textId="3357DB99" w:rsidR="00D4446E" w:rsidRPr="00A02D15" w:rsidRDefault="00D4446E" w:rsidP="00A02D15">
            <w:pPr>
              <w:jc w:val="both"/>
              <w:rPr>
                <w:rFonts w:asciiTheme="minorBidi" w:hAnsiTheme="minorBidi"/>
                <w:sz w:val="22"/>
                <w:szCs w:val="22"/>
              </w:rPr>
            </w:pPr>
            <w:r w:rsidRPr="00A02D15">
              <w:rPr>
                <w:rFonts w:asciiTheme="minorBidi" w:hAnsiTheme="minorBidi"/>
                <w:sz w:val="22"/>
                <w:szCs w:val="22"/>
              </w:rPr>
              <w:t>This paper will address this gap through a focused analysis of the Western Port catchment in Victoria, Australia, particularly the area around Koo Wee Rup, an important agricultural region</w:t>
            </w:r>
            <w:r w:rsidR="009316F2">
              <w:rPr>
                <w:rFonts w:asciiTheme="minorBidi" w:hAnsiTheme="minorBidi"/>
                <w:sz w:val="22"/>
                <w:szCs w:val="22"/>
              </w:rPr>
              <w:t xml:space="preserve"> (</w:t>
            </w:r>
            <w:r w:rsidR="009316F2" w:rsidRPr="009316F2">
              <w:rPr>
                <w:rFonts w:asciiTheme="minorBidi" w:hAnsiTheme="minorBidi"/>
                <w:i/>
                <w:iCs/>
              </w:rPr>
              <w:t>Cardinia Shire Council, 2015</w:t>
            </w:r>
            <w:r w:rsidR="009316F2">
              <w:rPr>
                <w:rFonts w:ascii="Arial" w:hAnsi="Arial" w:cs="Arial"/>
                <w:color w:val="1C1C1C"/>
                <w:sz w:val="21"/>
                <w:szCs w:val="21"/>
                <w:shd w:val="clear" w:color="auto" w:fill="FFFFFF"/>
              </w:rPr>
              <w:t>)</w:t>
            </w:r>
            <w:r w:rsidRPr="00A02D15">
              <w:rPr>
                <w:rFonts w:asciiTheme="minorBidi" w:hAnsiTheme="minorBidi"/>
                <w:sz w:val="22"/>
                <w:szCs w:val="22"/>
              </w:rPr>
              <w:t>. It will examine the role of design-led micro-interventions, mainly small-scale and temporary landscape projects, in enhancing long-term resilience. This research proposes integrating adaptive interventions, such as small-scale design solutions, into broader regional adaptation strategies. For example, in the agriculture industry, improving seasonal workers' housing, transportation, and working conditions will significantly support regional adaptation plans while enhancing local resilience. Designing and building small interventions for this group will provide immediate benefits and long-term sustainable growth.</w:t>
            </w:r>
          </w:p>
          <w:p w14:paraId="7DF7D437" w14:textId="77777777" w:rsidR="0065012F" w:rsidRDefault="0065012F" w:rsidP="00A02D15">
            <w:pPr>
              <w:jc w:val="both"/>
              <w:rPr>
                <w:rFonts w:ascii="Arial" w:hAnsi="Arial" w:cs="Arial"/>
                <w:b/>
                <w:sz w:val="22"/>
                <w:szCs w:val="22"/>
              </w:rPr>
            </w:pPr>
          </w:p>
          <w:p w14:paraId="457D2D05" w14:textId="4552866C" w:rsidR="0065012F" w:rsidRDefault="00906B39" w:rsidP="00A02D15">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8C1CA34" w14:textId="1ABADB37" w:rsidR="00D4446E" w:rsidRPr="00A02D15" w:rsidRDefault="00D4446E" w:rsidP="00A02D15">
            <w:pPr>
              <w:jc w:val="both"/>
              <w:rPr>
                <w:rFonts w:asciiTheme="minorBidi" w:hAnsiTheme="minorBidi"/>
                <w:sz w:val="22"/>
                <w:szCs w:val="22"/>
              </w:rPr>
            </w:pPr>
            <w:r w:rsidRPr="00A02D15">
              <w:rPr>
                <w:rFonts w:asciiTheme="minorBidi" w:hAnsiTheme="minorBidi"/>
                <w:sz w:val="22"/>
                <w:szCs w:val="22"/>
              </w:rPr>
              <w:t>The research will employ qualitative case studies</w:t>
            </w:r>
            <w:r w:rsidR="00A02D15">
              <w:rPr>
                <w:rFonts w:asciiTheme="minorBidi" w:hAnsiTheme="minorBidi"/>
                <w:sz w:val="22"/>
                <w:szCs w:val="22"/>
              </w:rPr>
              <w:t xml:space="preserve"> </w:t>
            </w:r>
            <w:r w:rsidRPr="00A02D15">
              <w:rPr>
                <w:rFonts w:asciiTheme="minorBidi" w:hAnsiTheme="minorBidi"/>
                <w:sz w:val="22"/>
                <w:szCs w:val="22"/>
              </w:rPr>
              <w:t xml:space="preserve">and analysis of existing adaptation strategies and initiatives to assess the effectiveness of small-scale design interventions in enhancing resilience. </w:t>
            </w:r>
          </w:p>
          <w:p w14:paraId="015EFC6C" w14:textId="3DA0C77C" w:rsidR="0065012F" w:rsidRDefault="0065012F" w:rsidP="00A02D15">
            <w:pPr>
              <w:jc w:val="both"/>
              <w:rPr>
                <w:rFonts w:ascii="Arial" w:hAnsi="Arial" w:cs="Arial"/>
                <w:b/>
                <w:sz w:val="22"/>
                <w:szCs w:val="22"/>
              </w:rPr>
            </w:pPr>
          </w:p>
          <w:p w14:paraId="62DAA8AE" w14:textId="67F6B4E4" w:rsidR="0065012F" w:rsidRDefault="0065012F" w:rsidP="00A02D15">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A3B9C16" w14:textId="77777777" w:rsidR="00D4446E" w:rsidRPr="00A02D15" w:rsidRDefault="00D4446E" w:rsidP="00A02D15">
            <w:pPr>
              <w:jc w:val="both"/>
              <w:rPr>
                <w:rFonts w:asciiTheme="minorBidi" w:hAnsiTheme="minorBidi"/>
                <w:sz w:val="22"/>
                <w:szCs w:val="22"/>
              </w:rPr>
            </w:pPr>
            <w:r w:rsidRPr="00A02D15">
              <w:rPr>
                <w:rFonts w:asciiTheme="minorBidi" w:hAnsiTheme="minorBidi"/>
                <w:sz w:val="22"/>
                <w:szCs w:val="22"/>
              </w:rPr>
              <w:t xml:space="preserve">The paper argues that micro-interventions are essential in achieving long-term adaptation goals because they are small-scale, low-budget, and have a short-term implementation process while engaging local stakeholders. They can adapt faster to climate, social, and economic change, ensuring long-term resilience. </w:t>
            </w:r>
          </w:p>
          <w:p w14:paraId="4167AD17" w14:textId="35905BBE" w:rsidR="00D4446E" w:rsidRDefault="00D4446E" w:rsidP="00A02D15">
            <w:pPr>
              <w:jc w:val="both"/>
              <w:rPr>
                <w:rFonts w:ascii="Arial" w:hAnsi="Arial" w:cs="Arial"/>
                <w:b/>
                <w:sz w:val="22"/>
                <w:szCs w:val="22"/>
              </w:rPr>
            </w:pPr>
          </w:p>
          <w:p w14:paraId="261EC656" w14:textId="2669F05C" w:rsidR="00C8423A" w:rsidRDefault="0065012F" w:rsidP="00A02D15">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2C29EF1" w14:textId="77777777" w:rsidR="00D4446E" w:rsidRPr="00A02D15" w:rsidRDefault="00D4446E" w:rsidP="00A02D15">
            <w:pPr>
              <w:jc w:val="both"/>
              <w:rPr>
                <w:rFonts w:ascii="Arial" w:hAnsi="Arial" w:cs="Arial"/>
                <w:sz w:val="22"/>
                <w:szCs w:val="22"/>
                <w:lang w:val="en-CA"/>
              </w:rPr>
            </w:pPr>
            <w:r w:rsidRPr="00A02D15">
              <w:rPr>
                <w:rFonts w:ascii="Arial" w:hAnsi="Arial" w:cs="Arial"/>
                <w:sz w:val="22"/>
                <w:szCs w:val="22"/>
                <w:lang w:val="en-CA"/>
              </w:rPr>
              <w:t xml:space="preserve">Adaptation is crucial for multigenerational farming businesses. Future changes, like flooding, can lead to operational changes and even relocation in some cases. So, achieving economic viability would become more complex. </w:t>
            </w:r>
          </w:p>
          <w:p w14:paraId="4F584497" w14:textId="436C641F" w:rsidR="00D4446E" w:rsidRPr="00F748AC" w:rsidRDefault="00D4446E" w:rsidP="00F748AC">
            <w:pPr>
              <w:jc w:val="both"/>
              <w:rPr>
                <w:rFonts w:ascii="Arial" w:hAnsi="Arial" w:cs="Arial"/>
                <w:color w:val="1C1C1C"/>
                <w:sz w:val="21"/>
                <w:szCs w:val="21"/>
                <w:shd w:val="clear" w:color="auto" w:fill="FFFFFF"/>
              </w:rPr>
            </w:pPr>
            <w:r w:rsidRPr="00A02D15">
              <w:rPr>
                <w:rFonts w:ascii="Arial" w:hAnsi="Arial" w:cs="Arial"/>
                <w:sz w:val="22"/>
                <w:szCs w:val="22"/>
                <w:lang w:val="en-CA"/>
              </w:rPr>
              <w:t>Adaptation should include smaller components, such as seasonal workers in the agriculture industry. These workers are vital to farm operations; without them, labour shortages would lead to reduced production</w:t>
            </w:r>
            <w:r w:rsidR="00E353A9">
              <w:rPr>
                <w:rFonts w:ascii="Arial" w:hAnsi="Arial" w:cs="Arial"/>
                <w:sz w:val="22"/>
                <w:szCs w:val="22"/>
                <w:lang w:val="en-CA"/>
              </w:rPr>
              <w:t xml:space="preserve"> </w:t>
            </w:r>
            <w:r w:rsidR="00F748AC" w:rsidRPr="00F748AC">
              <w:rPr>
                <w:rFonts w:ascii="Arial" w:hAnsi="Arial" w:cs="Arial"/>
                <w:sz w:val="22"/>
                <w:szCs w:val="22"/>
                <w:lang w:val="en-CA"/>
              </w:rPr>
              <w:t>(</w:t>
            </w:r>
            <w:r w:rsidR="00E353A9" w:rsidRPr="00F748AC">
              <w:rPr>
                <w:rFonts w:ascii="Arial" w:hAnsi="Arial" w:cs="Arial"/>
                <w:i/>
                <w:iCs/>
                <w:lang w:val="en-CA"/>
              </w:rPr>
              <w:t>Gibs</w:t>
            </w:r>
            <w:r w:rsidR="00F748AC" w:rsidRPr="00F748AC">
              <w:rPr>
                <w:rFonts w:ascii="Arial" w:hAnsi="Arial" w:cs="Arial"/>
                <w:i/>
                <w:iCs/>
                <w:lang w:val="en-CA"/>
              </w:rPr>
              <w:t xml:space="preserve">on, J., &amp; Bailey, R. L. </w:t>
            </w:r>
            <w:r w:rsidR="00E353A9" w:rsidRPr="00F748AC">
              <w:rPr>
                <w:rFonts w:ascii="Arial" w:hAnsi="Arial" w:cs="Arial"/>
                <w:i/>
                <w:iCs/>
                <w:lang w:val="en-CA"/>
              </w:rPr>
              <w:t>2021</w:t>
            </w:r>
            <w:r w:rsidR="00E353A9" w:rsidRPr="00F748AC">
              <w:rPr>
                <w:rFonts w:ascii="Arial" w:hAnsi="Arial" w:cs="Arial"/>
                <w:sz w:val="22"/>
                <w:szCs w:val="22"/>
                <w:lang w:val="en-CA"/>
              </w:rPr>
              <w:t>)</w:t>
            </w:r>
            <w:r w:rsidRPr="00A02D15">
              <w:rPr>
                <w:rFonts w:ascii="Arial" w:hAnsi="Arial" w:cs="Arial"/>
                <w:sz w:val="22"/>
                <w:szCs w:val="22"/>
                <w:lang w:val="en-CA"/>
              </w:rPr>
              <w:t>.</w:t>
            </w:r>
          </w:p>
          <w:p w14:paraId="21955247" w14:textId="77777777" w:rsidR="00D4446E" w:rsidRPr="00A02D15" w:rsidRDefault="00D4446E" w:rsidP="00A02D15">
            <w:pPr>
              <w:jc w:val="both"/>
              <w:rPr>
                <w:rFonts w:ascii="Arial" w:hAnsi="Arial" w:cs="Arial"/>
                <w:sz w:val="22"/>
                <w:szCs w:val="22"/>
                <w:lang w:val="en-CA"/>
              </w:rPr>
            </w:pPr>
            <w:r w:rsidRPr="00A02D15">
              <w:rPr>
                <w:rFonts w:ascii="Arial" w:hAnsi="Arial" w:cs="Arial"/>
                <w:sz w:val="22"/>
                <w:szCs w:val="22"/>
                <w:lang w:val="en-CA"/>
              </w:rPr>
              <w:t xml:space="preserve">Given the slow pace of adaptation in agricultural industries, it is crucial to design smaller-scale projects that improve existing practices while aligning with long-term adaptation goals. Initial steps are improving the current conditions for seasonal workers and </w:t>
            </w:r>
            <w:r w:rsidRPr="00A02D15">
              <w:rPr>
                <w:rFonts w:ascii="Arial" w:hAnsi="Arial" w:cs="Arial"/>
                <w:sz w:val="22"/>
                <w:szCs w:val="22"/>
                <w:lang w:val="en-CA"/>
              </w:rPr>
              <w:lastRenderedPageBreak/>
              <w:t xml:space="preserve">engaging the organisations that support these workers to ensure continuous involvement in adaptation efforts. Changes in recruitment, seasonal operations, or practices should be communicated through training programs to help seasonal workers stay informed and engaged. </w:t>
            </w:r>
          </w:p>
          <w:p w14:paraId="7882386B" w14:textId="77777777" w:rsidR="00D4446E" w:rsidRPr="00A02D15" w:rsidRDefault="00D4446E" w:rsidP="00A02D15">
            <w:pPr>
              <w:jc w:val="both"/>
              <w:rPr>
                <w:rFonts w:ascii="Arial" w:hAnsi="Arial" w:cs="Arial"/>
                <w:sz w:val="22"/>
                <w:szCs w:val="22"/>
                <w:lang w:val="en-CA"/>
              </w:rPr>
            </w:pPr>
            <w:r w:rsidRPr="00A02D15">
              <w:rPr>
                <w:rFonts w:ascii="Arial" w:hAnsi="Arial" w:cs="Arial"/>
                <w:sz w:val="22"/>
                <w:szCs w:val="22"/>
                <w:lang w:val="en-CA"/>
              </w:rPr>
              <w:t>These workers contribute to the local economy and exchange valuable knowledge. Involving them in adaptation strategies can promote international cooperation in global adaptation, mainly because many come from island nations vulnerable to rising sea levels.  </w:t>
            </w:r>
          </w:p>
          <w:p w14:paraId="2EA07FEB" w14:textId="77777777" w:rsidR="00343BA0" w:rsidRDefault="00D4446E" w:rsidP="00A02D15">
            <w:pPr>
              <w:jc w:val="both"/>
              <w:rPr>
                <w:rFonts w:ascii="Arial" w:hAnsi="Arial" w:cs="Arial"/>
                <w:sz w:val="22"/>
                <w:szCs w:val="22"/>
                <w:lang w:val="en-CA"/>
              </w:rPr>
            </w:pPr>
            <w:r w:rsidRPr="00A02D15">
              <w:rPr>
                <w:rFonts w:ascii="Arial" w:hAnsi="Arial" w:cs="Arial"/>
                <w:sz w:val="22"/>
                <w:szCs w:val="22"/>
                <w:lang w:val="en-CA"/>
              </w:rPr>
              <w:t>This paper seeks to understand the challenges farmers and seasonal workers face, envision future conditions about broader regional environmental goals, and improve their circumstances to ensure their continued contribution to the region's agriculture in the coming years.     </w:t>
            </w:r>
          </w:p>
          <w:p w14:paraId="43CB2428" w14:textId="4F05DA9C" w:rsidR="00BE58D6" w:rsidRPr="00A02D15" w:rsidRDefault="00D4446E" w:rsidP="00A02D15">
            <w:pPr>
              <w:jc w:val="both"/>
              <w:rPr>
                <w:rFonts w:ascii="Arial" w:hAnsi="Arial" w:cs="Arial"/>
                <w:sz w:val="22"/>
                <w:szCs w:val="22"/>
                <w:lang w:val="en-CA"/>
              </w:rPr>
            </w:pPr>
            <w:r w:rsidRPr="00A02D15">
              <w:rPr>
                <w:rFonts w:ascii="Arial" w:hAnsi="Arial" w:cs="Arial"/>
                <w:sz w:val="22"/>
                <w:szCs w:val="22"/>
                <w:lang w:val="en-CA"/>
              </w:rPr>
              <w:t xml:space="preserve">    </w:t>
            </w:r>
          </w:p>
          <w:p w14:paraId="4D7B65A8" w14:textId="4B672511" w:rsidR="00BE58D6" w:rsidRDefault="00343BA0" w:rsidP="00A02D15">
            <w:pPr>
              <w:jc w:val="both"/>
              <w:rPr>
                <w:rFonts w:ascii="Arial" w:hAnsi="Arial" w:cs="Arial"/>
                <w:b/>
                <w:sz w:val="22"/>
                <w:szCs w:val="22"/>
              </w:rPr>
            </w:pPr>
            <w:r>
              <w:rPr>
                <w:rFonts w:ascii="Arial" w:hAnsi="Arial" w:cs="Arial"/>
                <w:b/>
                <w:sz w:val="22"/>
                <w:szCs w:val="22"/>
              </w:rPr>
              <w:t>References</w:t>
            </w:r>
          </w:p>
          <w:p w14:paraId="2D4B2242" w14:textId="06FD494A" w:rsidR="00343BA0" w:rsidRDefault="00343BA0" w:rsidP="00A02D15">
            <w:pPr>
              <w:jc w:val="both"/>
              <w:rPr>
                <w:rFonts w:ascii="Arial" w:hAnsi="Arial" w:cs="Arial"/>
                <w:sz w:val="22"/>
                <w:szCs w:val="22"/>
                <w:lang w:val="en-CA"/>
              </w:rPr>
            </w:pPr>
            <w:r w:rsidRPr="00343BA0">
              <w:rPr>
                <w:rFonts w:ascii="Arial" w:hAnsi="Arial" w:cs="Arial"/>
                <w:sz w:val="22"/>
                <w:szCs w:val="22"/>
                <w:lang w:val="en-CA"/>
              </w:rPr>
              <w:t xml:space="preserve">Asbridge, E.F., Low Choy, D., Mackey, B. et al. (2021) Coastal flood risk within a peri-urban area: SUSSEX Inlet district, SE Australia. Nat Hazards 109, 999–1026 </w:t>
            </w:r>
            <w:hyperlink r:id="rId8" w:history="1">
              <w:r w:rsidRPr="00DF7E42">
                <w:rPr>
                  <w:rStyle w:val="Hyperlink"/>
                  <w:rFonts w:ascii="Arial" w:hAnsi="Arial" w:cs="Arial"/>
                  <w:sz w:val="22"/>
                  <w:szCs w:val="22"/>
                  <w:lang w:val="en-CA"/>
                </w:rPr>
                <w:t>https://doi.org/10.1007/s11069-021-04865-9</w:t>
              </w:r>
            </w:hyperlink>
            <w:r>
              <w:rPr>
                <w:rFonts w:ascii="Arial" w:hAnsi="Arial" w:cs="Arial"/>
                <w:sz w:val="22"/>
                <w:szCs w:val="22"/>
                <w:lang w:val="en-CA"/>
              </w:rPr>
              <w:t xml:space="preserve"> </w:t>
            </w:r>
          </w:p>
          <w:p w14:paraId="53826229" w14:textId="77777777" w:rsidR="00864473" w:rsidRPr="000F54DB" w:rsidRDefault="00864473" w:rsidP="000F54DB">
            <w:pPr>
              <w:jc w:val="both"/>
              <w:rPr>
                <w:rFonts w:ascii="Arial" w:hAnsi="Arial" w:cs="Arial"/>
                <w:sz w:val="22"/>
                <w:szCs w:val="22"/>
                <w:lang w:val="en-CA"/>
              </w:rPr>
            </w:pPr>
          </w:p>
          <w:p w14:paraId="3DF14625" w14:textId="42344A04" w:rsidR="00864473" w:rsidRDefault="00864473" w:rsidP="000F54DB">
            <w:pPr>
              <w:jc w:val="both"/>
              <w:rPr>
                <w:rFonts w:ascii="Arial" w:hAnsi="Arial" w:cs="Arial"/>
                <w:sz w:val="22"/>
                <w:szCs w:val="22"/>
                <w:lang w:val="en-CA"/>
              </w:rPr>
            </w:pPr>
            <w:r w:rsidRPr="00864473">
              <w:rPr>
                <w:rFonts w:ascii="Arial" w:hAnsi="Arial" w:cs="Arial"/>
                <w:sz w:val="22"/>
                <w:szCs w:val="22"/>
                <w:lang w:val="en-CA"/>
              </w:rPr>
              <w:t>Butt</w:t>
            </w:r>
            <w:r>
              <w:rPr>
                <w:rFonts w:ascii="Arial" w:hAnsi="Arial" w:cs="Arial"/>
                <w:sz w:val="22"/>
                <w:szCs w:val="22"/>
                <w:lang w:val="en-CA"/>
              </w:rPr>
              <w:t>,</w:t>
            </w:r>
            <w:r w:rsidRPr="00864473">
              <w:rPr>
                <w:rFonts w:ascii="Arial" w:hAnsi="Arial" w:cs="Arial"/>
                <w:sz w:val="22"/>
                <w:szCs w:val="22"/>
                <w:lang w:val="en-CA"/>
              </w:rPr>
              <w:t xml:space="preserve"> A</w:t>
            </w:r>
            <w:r>
              <w:rPr>
                <w:rFonts w:ascii="Arial" w:hAnsi="Arial" w:cs="Arial"/>
                <w:sz w:val="22"/>
                <w:szCs w:val="22"/>
                <w:lang w:val="en-CA"/>
              </w:rPr>
              <w:t>.</w:t>
            </w:r>
            <w:r w:rsidRPr="00864473">
              <w:rPr>
                <w:rFonts w:ascii="Arial" w:hAnsi="Arial" w:cs="Arial"/>
                <w:sz w:val="22"/>
                <w:szCs w:val="22"/>
                <w:lang w:val="en-CA"/>
              </w:rPr>
              <w:t xml:space="preserve"> (2024) Sustainable, resilient, regenerative? The potential of </w:t>
            </w:r>
            <w:r>
              <w:rPr>
                <w:rFonts w:ascii="Arial" w:hAnsi="Arial" w:cs="Arial"/>
                <w:sz w:val="22"/>
                <w:szCs w:val="22"/>
                <w:lang w:val="en-CA"/>
              </w:rPr>
              <w:t xml:space="preserve">Melbourne’s peri-urban region. </w:t>
            </w:r>
            <w:r w:rsidRPr="00864473">
              <w:rPr>
                <w:rFonts w:ascii="Arial" w:hAnsi="Arial" w:cs="Arial"/>
                <w:sz w:val="22"/>
                <w:szCs w:val="22"/>
                <w:lang w:val="en-CA"/>
              </w:rPr>
              <w:t xml:space="preserve">Front. Sustain. Cities </w:t>
            </w:r>
            <w:r>
              <w:rPr>
                <w:rFonts w:ascii="Arial" w:hAnsi="Arial" w:cs="Arial"/>
                <w:sz w:val="22"/>
                <w:szCs w:val="22"/>
                <w:lang w:val="en-CA"/>
              </w:rPr>
              <w:t xml:space="preserve">6:1391712. </w:t>
            </w:r>
            <w:proofErr w:type="spellStart"/>
            <w:r w:rsidRPr="00864473">
              <w:rPr>
                <w:rFonts w:ascii="Arial" w:hAnsi="Arial" w:cs="Arial"/>
                <w:sz w:val="22"/>
                <w:szCs w:val="22"/>
                <w:lang w:val="en-CA"/>
              </w:rPr>
              <w:t>doi</w:t>
            </w:r>
            <w:proofErr w:type="spellEnd"/>
            <w:r w:rsidRPr="00864473">
              <w:rPr>
                <w:rFonts w:ascii="Arial" w:hAnsi="Arial" w:cs="Arial"/>
                <w:sz w:val="22"/>
                <w:szCs w:val="22"/>
                <w:lang w:val="en-CA"/>
              </w:rPr>
              <w:t xml:space="preserve">: 10.3389/frsc.2024.1391712 </w:t>
            </w:r>
          </w:p>
          <w:p w14:paraId="6B084F38" w14:textId="77777777" w:rsidR="00E353A9" w:rsidRDefault="00E353A9" w:rsidP="000F54DB">
            <w:pPr>
              <w:jc w:val="both"/>
              <w:rPr>
                <w:rFonts w:ascii="Arial" w:hAnsi="Arial" w:cs="Arial"/>
                <w:sz w:val="22"/>
                <w:szCs w:val="22"/>
                <w:lang w:val="en-CA"/>
              </w:rPr>
            </w:pPr>
          </w:p>
          <w:p w14:paraId="73B89853" w14:textId="08B562EF" w:rsidR="00E353A9" w:rsidRDefault="00E353A9" w:rsidP="00E353A9">
            <w:pPr>
              <w:jc w:val="both"/>
              <w:rPr>
                <w:rFonts w:ascii="Arial" w:hAnsi="Arial" w:cs="Arial"/>
                <w:color w:val="1C1C1C"/>
                <w:sz w:val="21"/>
                <w:szCs w:val="21"/>
                <w:shd w:val="clear" w:color="auto" w:fill="FFFFFF"/>
              </w:rPr>
            </w:pPr>
            <w:r>
              <w:rPr>
                <w:rFonts w:ascii="Arial" w:hAnsi="Arial" w:cs="Arial"/>
                <w:color w:val="1C1C1C"/>
                <w:sz w:val="21"/>
                <w:szCs w:val="21"/>
                <w:shd w:val="clear" w:color="auto" w:fill="FFFFFF"/>
              </w:rPr>
              <w:t>Cardinia Shire Council (2015) Koo Wee Rup Township Strategy. Strategic Planning Unit. With assistance from Koo Wee Rup Township Strategy Review Reference Group &amp; Hansen Partnerships Pty Ltd.</w:t>
            </w:r>
          </w:p>
          <w:p w14:paraId="31A12438" w14:textId="77777777" w:rsidR="00E353A9" w:rsidRDefault="00E353A9" w:rsidP="00E353A9">
            <w:pPr>
              <w:jc w:val="both"/>
              <w:rPr>
                <w:rFonts w:ascii="Arial" w:hAnsi="Arial" w:cs="Arial"/>
                <w:color w:val="1C1C1C"/>
                <w:sz w:val="21"/>
                <w:szCs w:val="21"/>
                <w:shd w:val="clear" w:color="auto" w:fill="FFFFFF"/>
              </w:rPr>
            </w:pPr>
          </w:p>
          <w:p w14:paraId="0BB88E35" w14:textId="77777777" w:rsidR="00E353A9" w:rsidRPr="00E353A9" w:rsidRDefault="00E353A9" w:rsidP="00E353A9">
            <w:pPr>
              <w:jc w:val="both"/>
              <w:rPr>
                <w:rFonts w:ascii="Arial" w:hAnsi="Arial" w:cs="Arial"/>
                <w:color w:val="1C1C1C"/>
                <w:sz w:val="21"/>
                <w:szCs w:val="21"/>
                <w:shd w:val="clear" w:color="auto" w:fill="FFFFFF"/>
              </w:rPr>
            </w:pPr>
            <w:r w:rsidRPr="00E353A9">
              <w:rPr>
                <w:rFonts w:ascii="Arial" w:hAnsi="Arial" w:cs="Arial"/>
                <w:color w:val="1C1C1C"/>
                <w:sz w:val="21"/>
                <w:szCs w:val="21"/>
                <w:shd w:val="clear" w:color="auto" w:fill="FFFFFF"/>
              </w:rPr>
              <w:t xml:space="preserve">Gibson, J., &amp; Bailey, R. L. (2021). Seasonal </w:t>
            </w:r>
            <w:proofErr w:type="spellStart"/>
            <w:r w:rsidRPr="00E353A9">
              <w:rPr>
                <w:rFonts w:ascii="Arial" w:hAnsi="Arial" w:cs="Arial"/>
                <w:color w:val="1C1C1C"/>
                <w:sz w:val="21"/>
                <w:szCs w:val="21"/>
                <w:shd w:val="clear" w:color="auto" w:fill="FFFFFF"/>
              </w:rPr>
              <w:t>labor</w:t>
            </w:r>
            <w:proofErr w:type="spellEnd"/>
            <w:r w:rsidRPr="00E353A9">
              <w:rPr>
                <w:rFonts w:ascii="Arial" w:hAnsi="Arial" w:cs="Arial"/>
                <w:color w:val="1C1C1C"/>
                <w:sz w:val="21"/>
                <w:szCs w:val="21"/>
                <w:shd w:val="clear" w:color="auto" w:fill="FFFFFF"/>
              </w:rPr>
              <w:t xml:space="preserve"> mobility in the pacific: Past impacts, future prospects. Asian Development Review, 38(1), 1-31.</w:t>
            </w:r>
          </w:p>
          <w:p w14:paraId="002E2B53" w14:textId="38D41A65" w:rsidR="000F54DB" w:rsidRPr="000F54DB" w:rsidRDefault="000F54DB" w:rsidP="000F54DB">
            <w:pPr>
              <w:jc w:val="both"/>
              <w:rPr>
                <w:rFonts w:ascii="Arial" w:hAnsi="Arial" w:cs="Arial"/>
                <w:sz w:val="22"/>
                <w:szCs w:val="22"/>
                <w:lang w:val="en-CA"/>
              </w:rPr>
            </w:pPr>
          </w:p>
          <w:p w14:paraId="2AEF5FFD" w14:textId="33483251" w:rsidR="00ED751B" w:rsidRDefault="00ED751B" w:rsidP="00BC2E8B">
            <w:pPr>
              <w:jc w:val="both"/>
              <w:rPr>
                <w:rFonts w:asciiTheme="minorBidi" w:hAnsiTheme="minorBidi" w:cstheme="minorBidi"/>
                <w:sz w:val="22"/>
                <w:szCs w:val="22"/>
                <w:lang w:val="en-CA"/>
              </w:rPr>
            </w:pPr>
            <w:r w:rsidRPr="00ED751B">
              <w:rPr>
                <w:rFonts w:ascii="Arial" w:hAnsi="Arial" w:cs="Arial"/>
                <w:sz w:val="22"/>
                <w:szCs w:val="22"/>
                <w:lang w:val="en-CA"/>
              </w:rPr>
              <w:t>Pasteur, K. (2010)</w:t>
            </w:r>
            <w:r>
              <w:rPr>
                <w:rFonts w:ascii="Arial" w:hAnsi="Arial" w:cs="Arial"/>
                <w:sz w:val="22"/>
                <w:szCs w:val="22"/>
                <w:lang w:val="en-CA"/>
              </w:rPr>
              <w:t xml:space="preserve"> From Vulnerability to Resilience (V2R).</w:t>
            </w:r>
            <w:r>
              <w:rPr>
                <w:rFonts w:cs="TradeGothic"/>
                <w:color w:val="211D1E"/>
              </w:rPr>
              <w:t xml:space="preserve"> </w:t>
            </w:r>
            <w:r w:rsidR="000F54DB" w:rsidRPr="000F54DB">
              <w:rPr>
                <w:rFonts w:ascii="Arial" w:hAnsi="Arial" w:cs="Arial"/>
                <w:sz w:val="22"/>
                <w:szCs w:val="22"/>
                <w:lang w:val="en-CA"/>
              </w:rPr>
              <w:t>Integrating Approaches: Sustainable Livelihoods, Disaster Risk Reduction and Climate Change Adaptation, December 2009, organised by Practical Actio</w:t>
            </w:r>
            <w:r w:rsidR="000F54DB">
              <w:rPr>
                <w:rFonts w:ascii="Arial" w:hAnsi="Arial" w:cs="Arial"/>
                <w:sz w:val="22"/>
                <w:szCs w:val="22"/>
                <w:lang w:val="en-CA"/>
              </w:rPr>
              <w:t>n</w:t>
            </w:r>
            <w:r>
              <w:rPr>
                <w:rFonts w:ascii="Arial" w:hAnsi="Arial" w:cs="Arial"/>
                <w:sz w:val="22"/>
                <w:szCs w:val="22"/>
                <w:lang w:val="en-CA"/>
              </w:rPr>
              <w:t xml:space="preserve"> </w:t>
            </w:r>
            <w:hyperlink r:id="rId9" w:history="1">
              <w:r w:rsidRPr="00DF7E42">
                <w:rPr>
                  <w:rStyle w:val="Hyperlink"/>
                  <w:rFonts w:asciiTheme="minorBidi" w:hAnsiTheme="minorBidi"/>
                  <w:sz w:val="22"/>
                  <w:szCs w:val="22"/>
                  <w:lang w:val="en-CA"/>
                </w:rPr>
                <w:t>http://hdl.handle.net/11283/367898</w:t>
              </w:r>
            </w:hyperlink>
            <w:r>
              <w:rPr>
                <w:rFonts w:asciiTheme="minorBidi" w:hAnsiTheme="minorBidi" w:cstheme="minorBidi"/>
                <w:sz w:val="22"/>
                <w:szCs w:val="22"/>
                <w:lang w:val="en-CA"/>
              </w:rPr>
              <w:t xml:space="preserve"> </w:t>
            </w:r>
          </w:p>
          <w:p w14:paraId="7A66AF77" w14:textId="2F27F504" w:rsidR="000F54DB" w:rsidRPr="000F54DB" w:rsidRDefault="00ED751B" w:rsidP="00BC2E8B">
            <w:pPr>
              <w:jc w:val="both"/>
              <w:rPr>
                <w:rFonts w:ascii="Arial" w:hAnsi="Arial" w:cs="Arial"/>
                <w:sz w:val="22"/>
                <w:szCs w:val="22"/>
                <w:lang w:val="en-CA"/>
              </w:rPr>
            </w:pPr>
            <w:r>
              <w:rPr>
                <w:rFonts w:asciiTheme="minorBidi" w:hAnsiTheme="minorBidi" w:cstheme="minorBidi"/>
                <w:sz w:val="22"/>
                <w:szCs w:val="22"/>
                <w:lang w:val="en-CA"/>
              </w:rPr>
              <w:t xml:space="preserve"> </w:t>
            </w:r>
            <w:r w:rsidRPr="00ED751B">
              <w:rPr>
                <w:rFonts w:ascii="Arial" w:hAnsi="Arial" w:cs="Arial"/>
                <w:sz w:val="22"/>
                <w:szCs w:val="22"/>
                <w:lang w:val="en-CA"/>
              </w:rPr>
              <w:t xml:space="preserve">  </w:t>
            </w:r>
            <w:r w:rsidR="000F54DB">
              <w:rPr>
                <w:rFonts w:ascii="Arial" w:hAnsi="Arial" w:cs="Arial"/>
                <w:sz w:val="22"/>
                <w:szCs w:val="22"/>
                <w:lang w:val="en-CA"/>
              </w:rPr>
              <w:t xml:space="preserve"> </w:t>
            </w:r>
          </w:p>
          <w:p w14:paraId="1A078683" w14:textId="71D8AF28" w:rsidR="00BE58D6" w:rsidRDefault="00343BA0" w:rsidP="00A02D15">
            <w:pPr>
              <w:jc w:val="both"/>
              <w:rPr>
                <w:rFonts w:ascii="Arial" w:hAnsi="Arial" w:cs="Arial"/>
                <w:b/>
                <w:sz w:val="22"/>
                <w:szCs w:val="22"/>
              </w:rPr>
            </w:pPr>
            <w:r w:rsidRPr="00343BA0">
              <w:rPr>
                <w:rFonts w:ascii="Arial" w:hAnsi="Arial" w:cs="Arial"/>
                <w:sz w:val="22"/>
                <w:szCs w:val="22"/>
                <w:lang w:val="en-CA"/>
              </w:rPr>
              <w:t xml:space="preserve"> </w:t>
            </w:r>
          </w:p>
          <w:p w14:paraId="39AA1BB4" w14:textId="77777777" w:rsidR="00BE58D6" w:rsidRDefault="00BE58D6" w:rsidP="00A02D15">
            <w:pPr>
              <w:jc w:val="both"/>
              <w:rPr>
                <w:rFonts w:ascii="Arial" w:hAnsi="Arial" w:cs="Arial"/>
                <w:b/>
                <w:sz w:val="22"/>
                <w:szCs w:val="22"/>
              </w:rPr>
            </w:pPr>
          </w:p>
          <w:p w14:paraId="2CBAECD6" w14:textId="729DADBB" w:rsidR="009F4EA0" w:rsidRPr="000D7047" w:rsidRDefault="009F4EA0" w:rsidP="00A02D15">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w:altName w:val="Arial"/>
    <w:panose1 w:val="00000000000000000000"/>
    <w:charset w:val="00"/>
    <w:family w:val="swiss"/>
    <w:notTrueType/>
    <w:pitch w:val="default"/>
    <w:sig w:usb0="00000003" w:usb1="00000000" w:usb2="00000000" w:usb3="00000000" w:csb0="00000001" w:csb1="00000000"/>
  </w:font>
  <w:font w:name="TradeGothic">
    <w:altName w:val="Trade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29461577">
    <w:abstractNumId w:val="0"/>
  </w:num>
  <w:num w:numId="2" w16cid:durableId="1726836474">
    <w:abstractNumId w:val="2"/>
  </w:num>
  <w:num w:numId="3" w16cid:durableId="82536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454E9"/>
    <w:rsid w:val="000F54DB"/>
    <w:rsid w:val="00105E39"/>
    <w:rsid w:val="00132AE5"/>
    <w:rsid w:val="00155315"/>
    <w:rsid w:val="00247C60"/>
    <w:rsid w:val="00256963"/>
    <w:rsid w:val="002B55AD"/>
    <w:rsid w:val="002E3AA3"/>
    <w:rsid w:val="00317356"/>
    <w:rsid w:val="00343BA0"/>
    <w:rsid w:val="0034503D"/>
    <w:rsid w:val="00354C31"/>
    <w:rsid w:val="00375B20"/>
    <w:rsid w:val="00385B9D"/>
    <w:rsid w:val="00386D01"/>
    <w:rsid w:val="00387A1A"/>
    <w:rsid w:val="004049E7"/>
    <w:rsid w:val="00462B90"/>
    <w:rsid w:val="004828A0"/>
    <w:rsid w:val="004B69C7"/>
    <w:rsid w:val="004D193B"/>
    <w:rsid w:val="004F4CE8"/>
    <w:rsid w:val="004F5C81"/>
    <w:rsid w:val="00524EBF"/>
    <w:rsid w:val="0053222C"/>
    <w:rsid w:val="005469BD"/>
    <w:rsid w:val="00550B17"/>
    <w:rsid w:val="00577D20"/>
    <w:rsid w:val="005854B8"/>
    <w:rsid w:val="0065012F"/>
    <w:rsid w:val="0068043B"/>
    <w:rsid w:val="00681CA7"/>
    <w:rsid w:val="006E28AC"/>
    <w:rsid w:val="008235E8"/>
    <w:rsid w:val="00864473"/>
    <w:rsid w:val="008773DF"/>
    <w:rsid w:val="008B01BA"/>
    <w:rsid w:val="008B50A0"/>
    <w:rsid w:val="008C0C35"/>
    <w:rsid w:val="008C22AD"/>
    <w:rsid w:val="008C2633"/>
    <w:rsid w:val="008E3D8D"/>
    <w:rsid w:val="008F2F93"/>
    <w:rsid w:val="009010B0"/>
    <w:rsid w:val="00906B39"/>
    <w:rsid w:val="00922B51"/>
    <w:rsid w:val="009316F2"/>
    <w:rsid w:val="00963443"/>
    <w:rsid w:val="009C374A"/>
    <w:rsid w:val="009F4EA0"/>
    <w:rsid w:val="00A02D15"/>
    <w:rsid w:val="00B026E8"/>
    <w:rsid w:val="00BA0872"/>
    <w:rsid w:val="00BA26BB"/>
    <w:rsid w:val="00BC2E8B"/>
    <w:rsid w:val="00BC6810"/>
    <w:rsid w:val="00BE0B4D"/>
    <w:rsid w:val="00BE58D6"/>
    <w:rsid w:val="00C26081"/>
    <w:rsid w:val="00C4126D"/>
    <w:rsid w:val="00C76C99"/>
    <w:rsid w:val="00C8423A"/>
    <w:rsid w:val="00CE53FE"/>
    <w:rsid w:val="00D4446E"/>
    <w:rsid w:val="00D716AD"/>
    <w:rsid w:val="00DB7929"/>
    <w:rsid w:val="00DD1BB3"/>
    <w:rsid w:val="00E353A9"/>
    <w:rsid w:val="00E612FF"/>
    <w:rsid w:val="00EB1B31"/>
    <w:rsid w:val="00ED751B"/>
    <w:rsid w:val="00F748AC"/>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343BA0"/>
    <w:rPr>
      <w:color w:val="0563C1" w:themeColor="hyperlink"/>
      <w:u w:val="single"/>
    </w:rPr>
  </w:style>
  <w:style w:type="paragraph" w:customStyle="1" w:styleId="Default">
    <w:name w:val="Default"/>
    <w:rsid w:val="00864473"/>
    <w:pPr>
      <w:autoSpaceDE w:val="0"/>
      <w:autoSpaceDN w:val="0"/>
      <w:adjustRightInd w:val="0"/>
    </w:pPr>
    <w:rPr>
      <w:rFonts w:ascii="Museo Sans" w:hAnsi="Museo Sans" w:cs="Museo Sans"/>
      <w:color w:val="000000"/>
      <w:lang w:val="en-AU"/>
    </w:rPr>
  </w:style>
  <w:style w:type="paragraph" w:customStyle="1" w:styleId="Pa10">
    <w:name w:val="Pa10"/>
    <w:basedOn w:val="Default"/>
    <w:next w:val="Default"/>
    <w:uiPriority w:val="99"/>
    <w:rsid w:val="00864473"/>
    <w:pPr>
      <w:spacing w:line="1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069-021-04865-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hdl.handle.net/11283/367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BF2E91F9-425D-46A8-B467-212ADC555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9c8a2b7b-0bee-4c48-b0a6-23db8982d3bc"/>
    <ds:schemaRef ds:uri="cab52c9b-ab33-4221-8af9-54f8f2b86a80"/>
    <ds:schemaRef ds:uri="http://schemas.openxmlformats.org/package/2006/metadata/core-properties"/>
    <ds:schemaRef ds:uri="6911e96c-4cc4-42d5-8e43-f93924cf6a0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2025-02-22T00:41:00Z</dcterms:created>
  <dcterms:modified xsi:type="dcterms:W3CDTF">2025-08-10T19:27:00Z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