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4859073E" w:rsidR="001564A4" w:rsidRPr="0050053A" w:rsidRDefault="00940693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Cellular Genomics Reveals Insight into Mechanisms of </w:t>
            </w:r>
            <w:r w:rsidR="00AB259D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Human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Pulmonary Fibrosis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18745BA5" w:rsidR="001564A4" w:rsidRPr="00AB259D" w:rsidRDefault="00AB259D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vertAlign w:val="superscript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Lai-Ying Zhang</w:t>
            </w:r>
            <w:r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Simon Apte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Viviana Lutzky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Penelope Groves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Maxine Tan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proofErr w:type="spellStart"/>
            <w:r w:rsidR="0073270A">
              <w:rPr>
                <w:rFonts w:ascii="Arial" w:hAnsi="Arial" w:cs="Arial"/>
                <w:sz w:val="22"/>
                <w:szCs w:val="22"/>
                <w:lang w:val="en-US" w:eastAsia="en-GB"/>
              </w:rPr>
              <w:t>Tharushi</w:t>
            </w:r>
            <w:proofErr w:type="spellEnd"/>
            <w:r w:rsidR="0073270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de Silva</w:t>
            </w:r>
            <w:r w:rsidR="0073270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73270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Quan Nguyen</w:t>
            </w:r>
            <w:r w:rsidR="0073270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Joseph Powell</w:t>
            </w:r>
            <w:r w:rsidR="0073270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73270A">
              <w:rPr>
                <w:rFonts w:ascii="Arial" w:hAnsi="Arial" w:cs="Arial"/>
                <w:sz w:val="22"/>
                <w:szCs w:val="22"/>
                <w:lang w:val="en-US" w:eastAsia="en-GB"/>
              </w:rPr>
              <w:t>Daniel Chambers</w:t>
            </w:r>
            <w:r w:rsidR="0073270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73270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Brendan O’Sullivan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2FC050C8" w14:textId="77777777" w:rsidR="001564A4" w:rsidRDefault="00AB259D" w:rsidP="00617CD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Queensland Lung Transplant Service, The Prince Charles Hospital, Brisbane</w:t>
            </w:r>
          </w:p>
          <w:p w14:paraId="6E4C7B16" w14:textId="77F1F5EC" w:rsidR="0073270A" w:rsidRDefault="00AB259D" w:rsidP="00617CD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73270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Centre of Immunology and Infection Control, Brisbane</w:t>
            </w:r>
          </w:p>
          <w:p w14:paraId="7E4D57E2" w14:textId="77777777" w:rsidR="0073270A" w:rsidRDefault="0073270A" w:rsidP="00617CD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AB259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Queensland Institute of Medical Research</w:t>
            </w:r>
            <w:r w:rsidR="00D5194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Berghofer, Brisbane</w:t>
            </w:r>
          </w:p>
          <w:p w14:paraId="45ED36BF" w14:textId="1D9CF05C" w:rsidR="00D51947" w:rsidRPr="00D51947" w:rsidRDefault="0073270A" w:rsidP="00617CD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73270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D5194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="00D5194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Garvan</w:t>
            </w:r>
            <w:proofErr w:type="spellEnd"/>
            <w:r w:rsidR="00D5194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Institute of Medical Research, Sydney</w:t>
            </w:r>
          </w:p>
        </w:tc>
      </w:tr>
      <w:tr w:rsidR="001564A4" w:rsidRPr="0050053A" w14:paraId="6DAF615A" w14:textId="77777777" w:rsidTr="00617CD3">
        <w:trPr>
          <w:trHeight w:hRule="exact" w:val="9796"/>
          <w:jc w:val="center"/>
        </w:trPr>
        <w:tc>
          <w:tcPr>
            <w:tcW w:w="8640" w:type="dxa"/>
            <w:shd w:val="clear" w:color="auto" w:fill="auto"/>
          </w:tcPr>
          <w:p w14:paraId="739E7937" w14:textId="1B57A69D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219D1597" w14:textId="0B782238" w:rsidR="001564A4" w:rsidRPr="0050053A" w:rsidRDefault="00AB20D7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Immune cell aberrations have been identified in the lung tissue of patients with interstitial lung disease</w:t>
            </w:r>
            <w:r w:rsidR="00742187">
              <w:rPr>
                <w:sz w:val="22"/>
                <w:szCs w:val="22"/>
              </w:rPr>
              <w:t xml:space="preserve"> (ILD)</w:t>
            </w:r>
            <w:r>
              <w:rPr>
                <w:sz w:val="22"/>
                <w:szCs w:val="22"/>
              </w:rPr>
              <w:t>, but crucial mechanisms underlying pulmonary fibrosis are not yet fully understood. We sought to characterise</w:t>
            </w:r>
            <w:r w:rsidR="00150D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immune cell populations</w:t>
            </w:r>
            <w:r w:rsidR="007421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 the bronchoalveolar</w:t>
            </w:r>
            <w:r w:rsidR="00150DD3">
              <w:rPr>
                <w:sz w:val="22"/>
                <w:szCs w:val="22"/>
              </w:rPr>
              <w:t xml:space="preserve"> lavage (BAL)</w:t>
            </w:r>
            <w:r>
              <w:rPr>
                <w:sz w:val="22"/>
                <w:szCs w:val="22"/>
              </w:rPr>
              <w:t xml:space="preserve"> fluid of patients with fibrosing lung disease</w:t>
            </w:r>
            <w:r w:rsidR="00742187">
              <w:rPr>
                <w:sz w:val="22"/>
                <w:szCs w:val="22"/>
              </w:rPr>
              <w:t xml:space="preserve"> using single-cell RNA sequencing (</w:t>
            </w:r>
            <w:proofErr w:type="spellStart"/>
            <w:r w:rsidR="00742187">
              <w:rPr>
                <w:sz w:val="22"/>
                <w:szCs w:val="22"/>
              </w:rPr>
              <w:t>scRNA-seq</w:t>
            </w:r>
            <w:proofErr w:type="spellEnd"/>
            <w:r w:rsidR="00742187">
              <w:rPr>
                <w:sz w:val="22"/>
                <w:szCs w:val="22"/>
              </w:rPr>
              <w:t>).</w:t>
            </w:r>
          </w:p>
          <w:p w14:paraId="555D5C08" w14:textId="77777777" w:rsidR="00387910" w:rsidRPr="00387910" w:rsidRDefault="00387910" w:rsidP="00387910">
            <w:pPr>
              <w:pStyle w:val="Default"/>
            </w:pP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1F55C5C1" w14:textId="7237BC63" w:rsidR="00387910" w:rsidRPr="00387910" w:rsidRDefault="00742187" w:rsidP="00387910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performed </w:t>
            </w:r>
            <w:proofErr w:type="spellStart"/>
            <w:r>
              <w:rPr>
                <w:sz w:val="22"/>
                <w:szCs w:val="22"/>
              </w:rPr>
              <w:t>scRNA-seq</w:t>
            </w:r>
            <w:proofErr w:type="spellEnd"/>
            <w:r>
              <w:rPr>
                <w:sz w:val="22"/>
                <w:szCs w:val="22"/>
              </w:rPr>
              <w:t xml:space="preserve"> on </w:t>
            </w:r>
            <w:r w:rsidR="00150DD3">
              <w:rPr>
                <w:sz w:val="22"/>
                <w:szCs w:val="22"/>
              </w:rPr>
              <w:t>BAL</w:t>
            </w:r>
            <w:r>
              <w:rPr>
                <w:sz w:val="22"/>
                <w:szCs w:val="22"/>
              </w:rPr>
              <w:t xml:space="preserve"> obtained from </w:t>
            </w:r>
            <w:r w:rsidR="00DA7601">
              <w:rPr>
                <w:sz w:val="22"/>
                <w:szCs w:val="22"/>
              </w:rPr>
              <w:t xml:space="preserve">patients with fibrosing ILD and healthy controls, </w:t>
            </w:r>
            <w:r>
              <w:rPr>
                <w:sz w:val="22"/>
                <w:szCs w:val="22"/>
              </w:rPr>
              <w:t xml:space="preserve">using the 10x Genomics 5’ gene expression platform. </w:t>
            </w:r>
            <w:r w:rsidR="00793856">
              <w:rPr>
                <w:sz w:val="22"/>
                <w:szCs w:val="22"/>
              </w:rPr>
              <w:t xml:space="preserve">We then </w:t>
            </w:r>
            <w:r w:rsidR="005B5285">
              <w:rPr>
                <w:sz w:val="22"/>
                <w:szCs w:val="22"/>
              </w:rPr>
              <w:t>conducted</w:t>
            </w:r>
            <w:r w:rsidR="00F44721">
              <w:rPr>
                <w:sz w:val="22"/>
                <w:szCs w:val="22"/>
              </w:rPr>
              <w:t xml:space="preserve"> cell type annotation, differential gene expression analyses, </w:t>
            </w:r>
            <w:proofErr w:type="spellStart"/>
            <w:r w:rsidR="00F44721">
              <w:rPr>
                <w:sz w:val="22"/>
                <w:szCs w:val="22"/>
              </w:rPr>
              <w:t>pseudotime</w:t>
            </w:r>
            <w:proofErr w:type="spellEnd"/>
            <w:r w:rsidR="00F44721">
              <w:rPr>
                <w:sz w:val="22"/>
                <w:szCs w:val="22"/>
              </w:rPr>
              <w:t xml:space="preserve"> analyses, pathway activity and transcription factor inference analyses, and cell-cell interaction analyses</w:t>
            </w:r>
            <w:r w:rsidR="002E6BCA">
              <w:rPr>
                <w:sz w:val="22"/>
                <w:szCs w:val="22"/>
              </w:rPr>
              <w:t>.</w:t>
            </w:r>
            <w:r w:rsidR="001564A4">
              <w:rPr>
                <w:sz w:val="22"/>
                <w:szCs w:val="22"/>
              </w:rPr>
              <w:br/>
            </w: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1DD21D70" w14:textId="1AC587C7" w:rsidR="00F44721" w:rsidRDefault="003C4E6C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1E61C4">
              <w:rPr>
                <w:sz w:val="22"/>
                <w:szCs w:val="22"/>
              </w:rPr>
              <w:t xml:space="preserve">e profiled a total of 68,489 cells </w:t>
            </w:r>
            <w:r w:rsidR="00DA7601">
              <w:rPr>
                <w:sz w:val="22"/>
                <w:szCs w:val="22"/>
              </w:rPr>
              <w:t>in the</w:t>
            </w:r>
            <w:r w:rsidR="001E61C4">
              <w:rPr>
                <w:sz w:val="22"/>
                <w:szCs w:val="22"/>
              </w:rPr>
              <w:t xml:space="preserve"> </w:t>
            </w:r>
            <w:r w:rsidR="00150DD3">
              <w:rPr>
                <w:sz w:val="22"/>
                <w:szCs w:val="22"/>
              </w:rPr>
              <w:t>BAL</w:t>
            </w:r>
            <w:r w:rsidR="001E61C4">
              <w:rPr>
                <w:sz w:val="22"/>
                <w:szCs w:val="22"/>
              </w:rPr>
              <w:t xml:space="preserve"> of 3 healthy controls and 20 ILD patients</w:t>
            </w:r>
            <w:r w:rsidR="00DA7601">
              <w:rPr>
                <w:sz w:val="22"/>
                <w:szCs w:val="22"/>
              </w:rPr>
              <w:t xml:space="preserve"> of varying subtype, including idiopathic pulmonary fibrosis</w:t>
            </w:r>
            <w:r w:rsidR="000620A2">
              <w:rPr>
                <w:sz w:val="22"/>
                <w:szCs w:val="22"/>
              </w:rPr>
              <w:t xml:space="preserve"> (IPF)</w:t>
            </w:r>
            <w:r w:rsidR="00DA7601">
              <w:rPr>
                <w:sz w:val="22"/>
                <w:szCs w:val="22"/>
              </w:rPr>
              <w:t xml:space="preserve">, hypersensitivity pneumonitis, silicosis, and </w:t>
            </w:r>
            <w:proofErr w:type="gramStart"/>
            <w:r w:rsidR="00DA7601">
              <w:rPr>
                <w:sz w:val="22"/>
                <w:szCs w:val="22"/>
              </w:rPr>
              <w:t>smoking-related</w:t>
            </w:r>
            <w:proofErr w:type="gramEnd"/>
            <w:r w:rsidR="00DA7601">
              <w:rPr>
                <w:sz w:val="22"/>
                <w:szCs w:val="22"/>
              </w:rPr>
              <w:t xml:space="preserve"> ILD. We identified a subset of monocyte-derived interstitial macrophages </w:t>
            </w:r>
            <w:r w:rsidR="000620A2">
              <w:rPr>
                <w:sz w:val="22"/>
                <w:szCs w:val="22"/>
              </w:rPr>
              <w:t xml:space="preserve">upregulated in patients with IPF </w:t>
            </w:r>
            <w:r w:rsidR="00793856">
              <w:rPr>
                <w:sz w:val="22"/>
                <w:szCs w:val="22"/>
              </w:rPr>
              <w:t xml:space="preserve">(p&lt;0.005) </w:t>
            </w:r>
            <w:r w:rsidR="000620A2">
              <w:rPr>
                <w:sz w:val="22"/>
                <w:szCs w:val="22"/>
              </w:rPr>
              <w:t xml:space="preserve">and silicosis </w:t>
            </w:r>
            <w:r w:rsidR="00793856">
              <w:rPr>
                <w:sz w:val="22"/>
                <w:szCs w:val="22"/>
              </w:rPr>
              <w:t xml:space="preserve">(p&lt;0.05) </w:t>
            </w:r>
            <w:r w:rsidR="00246963">
              <w:rPr>
                <w:sz w:val="22"/>
                <w:szCs w:val="22"/>
              </w:rPr>
              <w:t xml:space="preserve">which </w:t>
            </w:r>
            <w:r w:rsidR="00DA7601">
              <w:rPr>
                <w:sz w:val="22"/>
                <w:szCs w:val="22"/>
              </w:rPr>
              <w:t>express</w:t>
            </w:r>
            <w:r w:rsidR="00246963">
              <w:rPr>
                <w:sz w:val="22"/>
                <w:szCs w:val="22"/>
              </w:rPr>
              <w:t>ed</w:t>
            </w:r>
            <w:r w:rsidR="00DA7601">
              <w:rPr>
                <w:sz w:val="22"/>
                <w:szCs w:val="22"/>
              </w:rPr>
              <w:t xml:space="preserve"> pro-fibrotic markers such as </w:t>
            </w:r>
            <w:r w:rsidR="00DA7601">
              <w:rPr>
                <w:i/>
                <w:iCs/>
                <w:sz w:val="22"/>
                <w:szCs w:val="22"/>
              </w:rPr>
              <w:t>SPP1</w:t>
            </w:r>
            <w:r w:rsidR="00DA7601">
              <w:rPr>
                <w:sz w:val="22"/>
                <w:szCs w:val="22"/>
              </w:rPr>
              <w:t xml:space="preserve"> and </w:t>
            </w:r>
            <w:r w:rsidR="00DA7601">
              <w:rPr>
                <w:i/>
                <w:iCs/>
                <w:sz w:val="22"/>
                <w:szCs w:val="22"/>
              </w:rPr>
              <w:t>LGMN</w:t>
            </w:r>
            <w:r w:rsidR="00DA7601">
              <w:rPr>
                <w:sz w:val="22"/>
                <w:szCs w:val="22"/>
              </w:rPr>
              <w:t>. These pro-fibrotic macrophages were enriched for several notable pathways including TGF</w:t>
            </w:r>
            <w:r w:rsidR="00DA7601">
              <w:rPr>
                <w:sz w:val="22"/>
                <w:szCs w:val="22"/>
              </w:rPr>
              <w:sym w:font="Symbol" w:char="F062"/>
            </w:r>
            <w:r w:rsidR="00150DD3">
              <w:rPr>
                <w:sz w:val="22"/>
                <w:szCs w:val="22"/>
              </w:rPr>
              <w:t xml:space="preserve"> and </w:t>
            </w:r>
            <w:proofErr w:type="gramStart"/>
            <w:r w:rsidR="0052313D">
              <w:rPr>
                <w:sz w:val="22"/>
                <w:szCs w:val="22"/>
              </w:rPr>
              <w:t>MAPK</w:t>
            </w:r>
            <w:r w:rsidR="00150DD3">
              <w:rPr>
                <w:sz w:val="22"/>
                <w:szCs w:val="22"/>
              </w:rPr>
              <w:t xml:space="preserve">, </w:t>
            </w:r>
            <w:r w:rsidR="00246963">
              <w:rPr>
                <w:sz w:val="22"/>
                <w:szCs w:val="22"/>
              </w:rPr>
              <w:t>and</w:t>
            </w:r>
            <w:proofErr w:type="gramEnd"/>
            <w:r w:rsidR="00246963">
              <w:rPr>
                <w:sz w:val="22"/>
                <w:szCs w:val="22"/>
              </w:rPr>
              <w:t xml:space="preserve"> were found to potentially interact with </w:t>
            </w:r>
            <w:r w:rsidR="008215E7">
              <w:rPr>
                <w:sz w:val="22"/>
                <w:szCs w:val="22"/>
              </w:rPr>
              <w:t>basal resting epithelial cells through TGF</w:t>
            </w:r>
            <w:r w:rsidR="008215E7">
              <w:rPr>
                <w:sz w:val="22"/>
                <w:szCs w:val="22"/>
              </w:rPr>
              <w:sym w:font="Symbol" w:char="F062"/>
            </w:r>
            <w:r w:rsidR="008215E7">
              <w:rPr>
                <w:sz w:val="22"/>
                <w:szCs w:val="22"/>
              </w:rPr>
              <w:t>-1. Higher expression levels of TGF</w:t>
            </w:r>
            <w:r w:rsidR="008215E7">
              <w:rPr>
                <w:sz w:val="22"/>
                <w:szCs w:val="22"/>
              </w:rPr>
              <w:sym w:font="Symbol" w:char="F062"/>
            </w:r>
            <w:r w:rsidR="008215E7">
              <w:rPr>
                <w:sz w:val="22"/>
                <w:szCs w:val="22"/>
              </w:rPr>
              <w:t xml:space="preserve">-1 </w:t>
            </w:r>
            <w:r w:rsidR="007C582C">
              <w:rPr>
                <w:sz w:val="22"/>
                <w:szCs w:val="22"/>
              </w:rPr>
              <w:t xml:space="preserve">in BAL myeloid cells </w:t>
            </w:r>
            <w:r w:rsidR="00150DD3">
              <w:rPr>
                <w:sz w:val="22"/>
                <w:szCs w:val="22"/>
              </w:rPr>
              <w:t>correlated</w:t>
            </w:r>
            <w:r w:rsidR="008215E7">
              <w:rPr>
                <w:sz w:val="22"/>
                <w:szCs w:val="22"/>
              </w:rPr>
              <w:t xml:space="preserve"> with greater </w:t>
            </w:r>
            <w:r w:rsidR="0052313D">
              <w:rPr>
                <w:sz w:val="22"/>
                <w:szCs w:val="22"/>
              </w:rPr>
              <w:t xml:space="preserve">percentage </w:t>
            </w:r>
            <w:r w:rsidR="008215E7">
              <w:rPr>
                <w:sz w:val="22"/>
                <w:szCs w:val="22"/>
              </w:rPr>
              <w:t>annual decline in the DLCO</w:t>
            </w:r>
            <w:r w:rsidR="000620A2">
              <w:rPr>
                <w:sz w:val="22"/>
                <w:szCs w:val="22"/>
              </w:rPr>
              <w:t xml:space="preserve"> of IPF</w:t>
            </w:r>
            <w:r>
              <w:rPr>
                <w:sz w:val="22"/>
                <w:szCs w:val="22"/>
              </w:rPr>
              <w:t xml:space="preserve"> patients</w:t>
            </w:r>
            <w:r w:rsidR="00793856">
              <w:rPr>
                <w:sz w:val="22"/>
                <w:szCs w:val="22"/>
              </w:rPr>
              <w:t xml:space="preserve"> (p=0.017)</w:t>
            </w:r>
            <w:r w:rsidR="007C582C">
              <w:rPr>
                <w:sz w:val="22"/>
                <w:szCs w:val="22"/>
              </w:rPr>
              <w:t xml:space="preserve">, suggesting a </w:t>
            </w:r>
            <w:r w:rsidR="000620A2">
              <w:rPr>
                <w:sz w:val="22"/>
                <w:szCs w:val="22"/>
              </w:rPr>
              <w:t xml:space="preserve">potential </w:t>
            </w:r>
            <w:r w:rsidR="007C582C">
              <w:rPr>
                <w:sz w:val="22"/>
                <w:szCs w:val="22"/>
              </w:rPr>
              <w:t xml:space="preserve">role in </w:t>
            </w:r>
            <w:r w:rsidR="000620A2">
              <w:rPr>
                <w:sz w:val="22"/>
                <w:szCs w:val="22"/>
              </w:rPr>
              <w:t xml:space="preserve">progressive pulmonary fibrosis. </w:t>
            </w:r>
            <w:r w:rsidR="00F44721">
              <w:rPr>
                <w:sz w:val="22"/>
                <w:szCs w:val="22"/>
              </w:rPr>
              <w:t>We then demonstrated that trametinib, a</w:t>
            </w:r>
            <w:r w:rsidR="00150DD3">
              <w:rPr>
                <w:sz w:val="22"/>
                <w:szCs w:val="22"/>
              </w:rPr>
              <w:t xml:space="preserve">n </w:t>
            </w:r>
            <w:r w:rsidR="00F44721">
              <w:rPr>
                <w:sz w:val="22"/>
                <w:szCs w:val="22"/>
              </w:rPr>
              <w:t xml:space="preserve">inhibitor of the ERK1 cascade within the MAPK pathway, </w:t>
            </w:r>
            <w:r w:rsidR="00150DD3">
              <w:rPr>
                <w:sz w:val="22"/>
                <w:szCs w:val="22"/>
              </w:rPr>
              <w:t>reduced</w:t>
            </w:r>
            <w:r w:rsidR="00F44721">
              <w:rPr>
                <w:sz w:val="22"/>
                <w:szCs w:val="22"/>
              </w:rPr>
              <w:t xml:space="preserve"> the expression of pro-fibrotic macrophage markers in an assay of </w:t>
            </w:r>
            <w:r w:rsidR="00150DD3">
              <w:rPr>
                <w:sz w:val="22"/>
                <w:szCs w:val="22"/>
              </w:rPr>
              <w:t>BAL</w:t>
            </w:r>
            <w:r w:rsidR="00F44721">
              <w:rPr>
                <w:sz w:val="22"/>
                <w:szCs w:val="22"/>
              </w:rPr>
              <w:t xml:space="preserve"> macrophage</w:t>
            </w:r>
            <w:r w:rsidR="00150DD3">
              <w:rPr>
                <w:sz w:val="22"/>
                <w:szCs w:val="22"/>
              </w:rPr>
              <w:t>s cultured from silicosis patients</w:t>
            </w:r>
            <w:r w:rsidR="00A95CA0">
              <w:rPr>
                <w:sz w:val="22"/>
                <w:szCs w:val="22"/>
              </w:rPr>
              <w:t xml:space="preserve">, </w:t>
            </w:r>
            <w:r w:rsidR="00150DD3">
              <w:rPr>
                <w:sz w:val="22"/>
                <w:szCs w:val="22"/>
              </w:rPr>
              <w:t>indicating</w:t>
            </w:r>
            <w:r w:rsidR="00A95CA0">
              <w:rPr>
                <w:sz w:val="22"/>
                <w:szCs w:val="22"/>
              </w:rPr>
              <w:t xml:space="preserve"> a </w:t>
            </w:r>
            <w:r w:rsidR="00150DD3">
              <w:rPr>
                <w:sz w:val="22"/>
                <w:szCs w:val="22"/>
              </w:rPr>
              <w:t xml:space="preserve">potential </w:t>
            </w:r>
            <w:r w:rsidR="00A95CA0">
              <w:rPr>
                <w:sz w:val="22"/>
                <w:szCs w:val="22"/>
              </w:rPr>
              <w:t>therapeutic target.</w:t>
            </w:r>
          </w:p>
          <w:p w14:paraId="68537800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69B04572" w14:textId="4129573E" w:rsidR="001564A4" w:rsidRPr="0050053A" w:rsidRDefault="00150DD3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</w:t>
            </w:r>
            <w:r w:rsidR="00FA6363">
              <w:rPr>
                <w:sz w:val="22"/>
                <w:szCs w:val="22"/>
              </w:rPr>
              <w:t xml:space="preserve"> identified </w:t>
            </w:r>
            <w:r>
              <w:rPr>
                <w:sz w:val="22"/>
                <w:szCs w:val="22"/>
              </w:rPr>
              <w:t>and characterised</w:t>
            </w:r>
            <w:r w:rsidR="003A4D61">
              <w:rPr>
                <w:sz w:val="22"/>
                <w:szCs w:val="22"/>
              </w:rPr>
              <w:t>, at single-cell resolution,</w:t>
            </w:r>
            <w:r>
              <w:rPr>
                <w:sz w:val="22"/>
                <w:szCs w:val="22"/>
              </w:rPr>
              <w:t xml:space="preserve"> </w:t>
            </w:r>
            <w:r w:rsidR="00FA6363">
              <w:rPr>
                <w:sz w:val="22"/>
                <w:szCs w:val="22"/>
              </w:rPr>
              <w:t xml:space="preserve">a pro-fibrotic monocyte-derived macrophage population in the BAL of patients with fibrosing ILD. Our study </w:t>
            </w:r>
            <w:r w:rsidR="003A4D61">
              <w:rPr>
                <w:sz w:val="22"/>
                <w:szCs w:val="22"/>
              </w:rPr>
              <w:t>highlights</w:t>
            </w:r>
            <w:r w:rsidR="00FA6363">
              <w:rPr>
                <w:sz w:val="22"/>
                <w:szCs w:val="22"/>
              </w:rPr>
              <w:t xml:space="preserve"> the potential role for TGF</w:t>
            </w:r>
            <w:r w:rsidR="00FA6363">
              <w:rPr>
                <w:sz w:val="22"/>
                <w:szCs w:val="22"/>
              </w:rPr>
              <w:sym w:font="Symbol" w:char="F062"/>
            </w:r>
            <w:r w:rsidR="00FA6363">
              <w:rPr>
                <w:sz w:val="22"/>
                <w:szCs w:val="22"/>
              </w:rPr>
              <w:t xml:space="preserve"> in promoting clinically progressive fibrosis</w:t>
            </w:r>
            <w:r w:rsidR="003A4D61">
              <w:rPr>
                <w:sz w:val="22"/>
                <w:szCs w:val="22"/>
              </w:rPr>
              <w:t>,</w:t>
            </w:r>
            <w:r w:rsidR="00FA6363">
              <w:rPr>
                <w:sz w:val="22"/>
                <w:szCs w:val="22"/>
              </w:rPr>
              <w:t xml:space="preserve"> via interactions between pro-fibrotic macrophages and basal resting epithelial cells.</w:t>
            </w:r>
          </w:p>
          <w:p w14:paraId="196E7BAC" w14:textId="33259293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3E8B4283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731CD908" w14:textId="18CE20A0" w:rsidR="001564A4" w:rsidRPr="00617CD3" w:rsidRDefault="00150DD3" w:rsidP="00617CD3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None.</w:t>
            </w: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24C99711" w14:textId="10128133" w:rsidR="00940693" w:rsidRDefault="00940693" w:rsidP="001564A4"/>
    <w:p w14:paraId="33BD5153" w14:textId="77777777" w:rsidR="00617CD3" w:rsidRDefault="00617CD3" w:rsidP="001564A4">
      <w:pPr>
        <w:rPr>
          <w:rFonts w:ascii="Arial" w:hAnsi="Arial" w:cs="Arial"/>
          <w:b/>
          <w:bCs/>
          <w:sz w:val="22"/>
          <w:szCs w:val="22"/>
        </w:rPr>
      </w:pPr>
    </w:p>
    <w:p w14:paraId="30F34C15" w14:textId="3F90DEBA" w:rsidR="006255A7" w:rsidRPr="006255A7" w:rsidRDefault="006255A7" w:rsidP="001564A4">
      <w:pPr>
        <w:rPr>
          <w:rFonts w:ascii="Arial" w:hAnsi="Arial" w:cs="Arial"/>
          <w:sz w:val="22"/>
          <w:szCs w:val="22"/>
        </w:rPr>
      </w:pPr>
      <w:r w:rsidRPr="006255A7">
        <w:rPr>
          <w:rFonts w:ascii="Arial" w:hAnsi="Arial" w:cs="Arial"/>
          <w:b/>
          <w:bCs/>
          <w:sz w:val="22"/>
          <w:szCs w:val="22"/>
        </w:rPr>
        <w:lastRenderedPageBreak/>
        <w:t>Key Words:</w:t>
      </w:r>
    </w:p>
    <w:p w14:paraId="4D6E3C94" w14:textId="1C54C5A9" w:rsidR="006255A7" w:rsidRPr="006255A7" w:rsidRDefault="006255A7" w:rsidP="001564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Idiopathic pulmonary fibrosis, pulmonary fibrosis, cellular genomics, single cell RNA sequencing, transcriptomics.</w:t>
      </w:r>
    </w:p>
    <w:sectPr w:rsidR="006255A7" w:rsidRPr="00625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620A2"/>
    <w:rsid w:val="000B2863"/>
    <w:rsid w:val="00150DD3"/>
    <w:rsid w:val="001564A4"/>
    <w:rsid w:val="001E61C4"/>
    <w:rsid w:val="001F2E64"/>
    <w:rsid w:val="00246963"/>
    <w:rsid w:val="002E6BCA"/>
    <w:rsid w:val="00387910"/>
    <w:rsid w:val="003A4D61"/>
    <w:rsid w:val="003C4E6C"/>
    <w:rsid w:val="0051574E"/>
    <w:rsid w:val="0052313D"/>
    <w:rsid w:val="005B5285"/>
    <w:rsid w:val="00617CD3"/>
    <w:rsid w:val="006255A7"/>
    <w:rsid w:val="0073270A"/>
    <w:rsid w:val="00742187"/>
    <w:rsid w:val="00793856"/>
    <w:rsid w:val="007B5970"/>
    <w:rsid w:val="007C582C"/>
    <w:rsid w:val="008215E7"/>
    <w:rsid w:val="008803FA"/>
    <w:rsid w:val="00940693"/>
    <w:rsid w:val="00A95CA0"/>
    <w:rsid w:val="00AB20D7"/>
    <w:rsid w:val="00AB259D"/>
    <w:rsid w:val="00B12E32"/>
    <w:rsid w:val="00B605A5"/>
    <w:rsid w:val="00D51947"/>
    <w:rsid w:val="00DA7601"/>
    <w:rsid w:val="00DE0387"/>
    <w:rsid w:val="00E0700F"/>
    <w:rsid w:val="00F44721"/>
    <w:rsid w:val="00FA387C"/>
    <w:rsid w:val="00FA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Lai-Ying Zhang</cp:lastModifiedBy>
  <cp:revision>19</cp:revision>
  <dcterms:created xsi:type="dcterms:W3CDTF">2023-10-16T12:32:00Z</dcterms:created>
  <dcterms:modified xsi:type="dcterms:W3CDTF">2023-10-18T23:34:00Z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