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B370" w14:textId="77777777" w:rsidR="002E5CCF" w:rsidRDefault="002E5CCF">
      <w:pPr>
        <w:pStyle w:val="Body"/>
        <w:rPr>
          <w:b/>
          <w:bCs/>
        </w:rPr>
      </w:pPr>
    </w:p>
    <w:tbl>
      <w:tblPr>
        <w:tblW w:w="86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0"/>
      </w:tblGrid>
      <w:tr w:rsidR="002E5CCF" w:rsidRPr="0081055F" w14:paraId="5356B373" w14:textId="77777777">
        <w:trPr>
          <w:trHeight w:val="723"/>
        </w:trPr>
        <w:tc>
          <w:tcPr>
            <w:tcW w:w="86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356B371" w14:textId="1098A4BD" w:rsidR="002E5CCF" w:rsidRPr="0081055F" w:rsidRDefault="0081055F">
            <w:pPr>
              <w:pStyle w:val="Body"/>
              <w:jc w:val="both"/>
              <w:rPr>
                <w:rFonts w:ascii="Arial" w:eastAsia="Arial" w:hAnsi="Arial" w:cs="Arial"/>
                <w:i/>
                <w:iCs/>
                <w:sz w:val="22"/>
                <w:szCs w:val="22"/>
              </w:rPr>
            </w:pPr>
            <w:r w:rsidRPr="0081055F">
              <w:rPr>
                <w:rFonts w:ascii="Arial" w:hAnsi="Arial"/>
                <w:i/>
                <w:iCs/>
                <w:sz w:val="22"/>
                <w:szCs w:val="22"/>
                <w:lang w:val="en-US"/>
              </w:rPr>
              <w:t>Paper</w:t>
            </w:r>
          </w:p>
          <w:p w14:paraId="5356B372" w14:textId="77777777" w:rsidR="002E5CCF" w:rsidRPr="0081055F" w:rsidRDefault="0081055F">
            <w:pPr>
              <w:pStyle w:val="Body"/>
              <w:jc w:val="both"/>
              <w:rPr>
                <w:b/>
                <w:bCs/>
              </w:rPr>
            </w:pPr>
            <w:r w:rsidRPr="0081055F">
              <w:rPr>
                <w:rFonts w:ascii="Arial" w:hAnsi="Arial"/>
                <w:b/>
                <w:bCs/>
                <w:sz w:val="22"/>
                <w:szCs w:val="22"/>
                <w:lang w:val="en-US"/>
              </w:rPr>
              <w:t xml:space="preserve">Building Adaptive Capacity for Climate Action &amp; Indigenous Resilience: Insights from </w:t>
            </w:r>
            <w:proofErr w:type="spellStart"/>
            <w:r w:rsidRPr="0081055F">
              <w:rPr>
                <w:rFonts w:ascii="Arial" w:hAnsi="Arial"/>
                <w:b/>
                <w:bCs/>
                <w:sz w:val="22"/>
                <w:szCs w:val="22"/>
                <w:lang w:val="en-US"/>
              </w:rPr>
              <w:t>Deshkan</w:t>
            </w:r>
            <w:proofErr w:type="spellEnd"/>
            <w:r w:rsidRPr="0081055F">
              <w:rPr>
                <w:rFonts w:ascii="Arial" w:hAnsi="Arial"/>
                <w:b/>
                <w:bCs/>
                <w:sz w:val="22"/>
                <w:szCs w:val="22"/>
                <w:lang w:val="en-US"/>
              </w:rPr>
              <w:t xml:space="preserve"> </w:t>
            </w:r>
            <w:proofErr w:type="spellStart"/>
            <w:r w:rsidRPr="0081055F">
              <w:rPr>
                <w:rFonts w:ascii="Arial" w:hAnsi="Arial"/>
                <w:b/>
                <w:bCs/>
                <w:sz w:val="22"/>
                <w:szCs w:val="22"/>
                <w:lang w:val="en-US"/>
              </w:rPr>
              <w:t>Ziibiing</w:t>
            </w:r>
            <w:proofErr w:type="spellEnd"/>
            <w:r w:rsidRPr="0081055F">
              <w:rPr>
                <w:rFonts w:ascii="Arial" w:hAnsi="Arial"/>
                <w:b/>
                <w:bCs/>
                <w:sz w:val="22"/>
                <w:szCs w:val="22"/>
                <w:lang w:val="en-US"/>
              </w:rPr>
              <w:t>, Chippewas of the Thames First Nation, Canada</w:t>
            </w:r>
          </w:p>
        </w:tc>
      </w:tr>
      <w:tr w:rsidR="002E5CCF" w14:paraId="5356B383" w14:textId="77777777">
        <w:trPr>
          <w:trHeight w:val="11523"/>
        </w:trPr>
        <w:tc>
          <w:tcPr>
            <w:tcW w:w="8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6B374" w14:textId="77777777" w:rsidR="002E5CCF" w:rsidRDefault="0081055F">
            <w:pPr>
              <w:pStyle w:val="Body"/>
              <w:jc w:val="both"/>
              <w:rPr>
                <w:rFonts w:ascii="Arial" w:eastAsia="Arial" w:hAnsi="Arial" w:cs="Arial"/>
                <w:sz w:val="20"/>
                <w:szCs w:val="20"/>
              </w:rPr>
            </w:pPr>
            <w:r>
              <w:rPr>
                <w:rFonts w:ascii="Arial" w:hAnsi="Arial"/>
                <w:b/>
                <w:bCs/>
                <w:sz w:val="20"/>
                <w:szCs w:val="20"/>
                <w:lang w:val="en-US"/>
              </w:rPr>
              <w:t xml:space="preserve">Introduction: </w:t>
            </w:r>
            <w:r>
              <w:rPr>
                <w:rFonts w:ascii="Arial" w:hAnsi="Arial"/>
                <w:sz w:val="20"/>
                <w:szCs w:val="20"/>
                <w:lang w:val="de-DE"/>
              </w:rPr>
              <w:t>Deshkan Ziib</w:t>
            </w:r>
            <w:proofErr w:type="spellStart"/>
            <w:r>
              <w:rPr>
                <w:rFonts w:ascii="Arial" w:hAnsi="Arial"/>
                <w:sz w:val="20"/>
                <w:szCs w:val="20"/>
                <w:lang w:val="en-US"/>
              </w:rPr>
              <w:t>iing</w:t>
            </w:r>
            <w:proofErr w:type="spellEnd"/>
            <w:r>
              <w:rPr>
                <w:rFonts w:ascii="Arial" w:hAnsi="Arial"/>
                <w:sz w:val="20"/>
                <w:szCs w:val="20"/>
                <w:lang w:val="en-US"/>
              </w:rPr>
              <w:t xml:space="preserve"> (People along the Antler River), also known as Chippewas of the Thames First Nation, is an Anishi</w:t>
            </w:r>
            <w:r>
              <w:rPr>
                <w:rFonts w:ascii="Arial" w:hAnsi="Arial"/>
                <w:sz w:val="20"/>
                <w:szCs w:val="20"/>
                <w:lang w:val="nl-NL"/>
              </w:rPr>
              <w:t>naabe</w:t>
            </w:r>
            <w:r>
              <w:rPr>
                <w:rFonts w:ascii="Arial" w:hAnsi="Arial"/>
                <w:sz w:val="20"/>
                <w:szCs w:val="20"/>
                <w:lang w:val="en-US"/>
              </w:rPr>
              <w:t xml:space="preserve"> Indigenous First Nations community on the north bank of </w:t>
            </w:r>
            <w:proofErr w:type="spellStart"/>
            <w:r>
              <w:rPr>
                <w:rFonts w:ascii="Arial" w:hAnsi="Arial"/>
                <w:sz w:val="20"/>
                <w:szCs w:val="20"/>
                <w:lang w:val="en-US"/>
              </w:rPr>
              <w:t>Deshkan</w:t>
            </w:r>
            <w:proofErr w:type="spellEnd"/>
            <w:r>
              <w:rPr>
                <w:rFonts w:ascii="Arial" w:hAnsi="Arial"/>
                <w:sz w:val="20"/>
                <w:szCs w:val="20"/>
                <w:lang w:val="en-US"/>
              </w:rPr>
              <w:t xml:space="preserve"> Ziibi (Antler River), currently known as the Thames River in present day southwestern Ontario Canada</w:t>
            </w:r>
            <w:r>
              <w:rPr>
                <w:rFonts w:ascii="Arial" w:hAnsi="Arial"/>
                <w:sz w:val="20"/>
                <w:szCs w:val="20"/>
              </w:rPr>
              <w:t xml:space="preserve">. </w:t>
            </w:r>
            <w:proofErr w:type="spellStart"/>
            <w:r>
              <w:rPr>
                <w:rFonts w:ascii="Arial" w:hAnsi="Arial"/>
                <w:sz w:val="20"/>
                <w:szCs w:val="20"/>
                <w:lang w:val="en-US"/>
              </w:rPr>
              <w:t>Deshkan</w:t>
            </w:r>
            <w:proofErr w:type="spellEnd"/>
            <w:r>
              <w:rPr>
                <w:rFonts w:ascii="Arial" w:hAnsi="Arial"/>
                <w:sz w:val="20"/>
                <w:szCs w:val="20"/>
                <w:lang w:val="en-US"/>
              </w:rPr>
              <w:t xml:space="preserve"> </w:t>
            </w:r>
            <w:proofErr w:type="spellStart"/>
            <w:r>
              <w:rPr>
                <w:rFonts w:ascii="Arial" w:hAnsi="Arial"/>
                <w:sz w:val="20"/>
                <w:szCs w:val="20"/>
                <w:lang w:val="en-US"/>
              </w:rPr>
              <w:t>Ziibiing</w:t>
            </w:r>
            <w:proofErr w:type="spellEnd"/>
            <w:r>
              <w:rPr>
                <w:rFonts w:ascii="Arial" w:hAnsi="Arial"/>
                <w:sz w:val="20"/>
                <w:szCs w:val="20"/>
                <w:lang w:val="en-US"/>
              </w:rPr>
              <w:t xml:space="preserve"> Peoples have observed trends of increased flooding and warming </w:t>
            </w:r>
            <w:proofErr w:type="gramStart"/>
            <w:r>
              <w:rPr>
                <w:rFonts w:ascii="Arial" w:hAnsi="Arial"/>
                <w:sz w:val="20"/>
                <w:szCs w:val="20"/>
                <w:lang w:val="en-US"/>
              </w:rPr>
              <w:t>temperatures</w:t>
            </w:r>
            <w:proofErr w:type="gramEnd"/>
            <w:r>
              <w:rPr>
                <w:rFonts w:ascii="Arial" w:hAnsi="Arial"/>
                <w:sz w:val="20"/>
                <w:szCs w:val="20"/>
                <w:lang w:val="en-US"/>
              </w:rPr>
              <w:t xml:space="preserve"> and the community is growing increasingly concerned about the cumulative impacts of climate change and the reciprocal need for energy</w:t>
            </w:r>
            <w:r>
              <w:rPr>
                <w:rFonts w:ascii="Arial" w:hAnsi="Arial"/>
                <w:sz w:val="20"/>
                <w:szCs w:val="20"/>
                <w:lang w:val="en-US"/>
              </w:rPr>
              <w:t xml:space="preserve"> transition.</w:t>
            </w:r>
          </w:p>
          <w:p w14:paraId="5356B375" w14:textId="77777777" w:rsidR="002E5CCF" w:rsidRDefault="002E5CCF">
            <w:pPr>
              <w:pStyle w:val="Body"/>
              <w:jc w:val="both"/>
              <w:rPr>
                <w:rFonts w:ascii="Arial" w:eastAsia="Arial" w:hAnsi="Arial" w:cs="Arial"/>
                <w:b/>
                <w:bCs/>
                <w:sz w:val="20"/>
                <w:szCs w:val="20"/>
              </w:rPr>
            </w:pPr>
          </w:p>
          <w:p w14:paraId="5356B376" w14:textId="77777777" w:rsidR="002E5CCF" w:rsidRDefault="0081055F">
            <w:pPr>
              <w:pStyle w:val="Default"/>
              <w:spacing w:before="0" w:after="320" w:line="240" w:lineRule="auto"/>
              <w:jc w:val="both"/>
              <w:rPr>
                <w:rFonts w:ascii="Arial" w:eastAsia="Arial" w:hAnsi="Arial" w:cs="Arial"/>
                <w:sz w:val="20"/>
                <w:szCs w:val="20"/>
              </w:rPr>
            </w:pPr>
            <w:r>
              <w:rPr>
                <w:rFonts w:ascii="Arial" w:hAnsi="Arial"/>
                <w:b/>
                <w:bCs/>
                <w:sz w:val="20"/>
                <w:szCs w:val="20"/>
              </w:rPr>
              <w:t xml:space="preserve">Objectives: </w:t>
            </w:r>
            <w:r>
              <w:rPr>
                <w:rFonts w:ascii="Arial" w:hAnsi="Arial"/>
                <w:sz w:val="20"/>
                <w:szCs w:val="20"/>
              </w:rPr>
              <w:t xml:space="preserve">Smit and Wandel (2006) state that advancing local adaptive capacity requires:  </w:t>
            </w:r>
            <w:proofErr w:type="gramStart"/>
            <w:r>
              <w:rPr>
                <w:rFonts w:ascii="Arial" w:hAnsi="Arial"/>
                <w:sz w:val="20"/>
                <w:szCs w:val="20"/>
              </w:rPr>
              <w:t xml:space="preserve">   </w:t>
            </w:r>
            <w:r>
              <w:rPr>
                <w:rFonts w:ascii="Arial" w:hAnsi="Arial"/>
                <w:sz w:val="20"/>
                <w:szCs w:val="20"/>
              </w:rPr>
              <w:t>‘</w:t>
            </w:r>
            <w:proofErr w:type="gramEnd"/>
            <w:r>
              <w:rPr>
                <w:rFonts w:ascii="Arial" w:hAnsi="Arial"/>
                <w:sz w:val="20"/>
                <w:szCs w:val="20"/>
              </w:rPr>
              <w:t>…</w:t>
            </w:r>
            <w:r>
              <w:rPr>
                <w:rFonts w:ascii="Arial" w:hAnsi="Arial"/>
                <w:sz w:val="20"/>
                <w:szCs w:val="20"/>
              </w:rPr>
              <w:t xml:space="preserve">at the local level the ability to undertake adaptations can be influenced by such factors as </w:t>
            </w:r>
            <w:r>
              <w:rPr>
                <w:rFonts w:ascii="Arial" w:hAnsi="Arial"/>
                <w:i/>
                <w:iCs/>
                <w:sz w:val="20"/>
                <w:szCs w:val="20"/>
              </w:rPr>
              <w:t xml:space="preserve">managerial ability, access to financial, technological and information resources, infrastructure, the institutional environment </w:t>
            </w:r>
            <w:r>
              <w:rPr>
                <w:rFonts w:ascii="Arial" w:hAnsi="Arial"/>
                <w:sz w:val="20"/>
                <w:szCs w:val="20"/>
              </w:rPr>
              <w:t>within</w:t>
            </w:r>
            <w:r>
              <w:rPr>
                <w:rFonts w:ascii="Arial" w:hAnsi="Arial"/>
                <w:i/>
                <w:iCs/>
                <w:sz w:val="20"/>
                <w:szCs w:val="20"/>
              </w:rPr>
              <w:t xml:space="preserve"> which adaptations occur, political influence, kinship networks</w:t>
            </w:r>
            <w:r>
              <w:rPr>
                <w:rFonts w:ascii="Arial" w:hAnsi="Arial"/>
                <w:sz w:val="20"/>
                <w:szCs w:val="20"/>
                <w:lang w:val="fr-FR"/>
              </w:rPr>
              <w:t>, etc.</w:t>
            </w:r>
            <w:r>
              <w:rPr>
                <w:rFonts w:ascii="Arial" w:hAnsi="Arial"/>
                <w:sz w:val="20"/>
                <w:szCs w:val="20"/>
              </w:rPr>
              <w:t>”</w:t>
            </w:r>
            <w:r>
              <w:rPr>
                <w:rFonts w:ascii="Arial" w:hAnsi="Arial"/>
                <w:sz w:val="20"/>
                <w:szCs w:val="20"/>
              </w:rPr>
              <w:t xml:space="preserve"> This paper presentation will reflect on the social factors that support adaptive capacity, in the case of </w:t>
            </w:r>
            <w:proofErr w:type="spellStart"/>
            <w:r>
              <w:rPr>
                <w:rFonts w:ascii="Arial" w:hAnsi="Arial"/>
                <w:sz w:val="20"/>
                <w:szCs w:val="20"/>
              </w:rPr>
              <w:t>Deshkan</w:t>
            </w:r>
            <w:proofErr w:type="spellEnd"/>
            <w:r>
              <w:rPr>
                <w:rFonts w:ascii="Arial" w:hAnsi="Arial"/>
                <w:sz w:val="20"/>
                <w:szCs w:val="20"/>
              </w:rPr>
              <w:t xml:space="preserve"> </w:t>
            </w:r>
            <w:proofErr w:type="spellStart"/>
            <w:r>
              <w:rPr>
                <w:rFonts w:ascii="Arial" w:hAnsi="Arial"/>
                <w:sz w:val="20"/>
                <w:szCs w:val="20"/>
              </w:rPr>
              <w:t>Ziibiing</w:t>
            </w:r>
            <w:proofErr w:type="spellEnd"/>
            <w:r>
              <w:rPr>
                <w:rFonts w:ascii="Arial" w:hAnsi="Arial"/>
                <w:sz w:val="20"/>
                <w:szCs w:val="20"/>
              </w:rPr>
              <w:t xml:space="preserve">. </w:t>
            </w:r>
          </w:p>
          <w:p w14:paraId="5356B377" w14:textId="77777777" w:rsidR="002E5CCF" w:rsidRDefault="0081055F">
            <w:pPr>
              <w:pStyle w:val="Body"/>
              <w:jc w:val="both"/>
              <w:rPr>
                <w:rFonts w:ascii="Arial" w:eastAsia="Arial" w:hAnsi="Arial" w:cs="Arial"/>
                <w:b/>
                <w:bCs/>
                <w:sz w:val="20"/>
                <w:szCs w:val="20"/>
              </w:rPr>
            </w:pPr>
            <w:r>
              <w:rPr>
                <w:rFonts w:ascii="Arial" w:hAnsi="Arial"/>
                <w:b/>
                <w:bCs/>
                <w:sz w:val="20"/>
                <w:szCs w:val="20"/>
                <w:lang w:val="en-US"/>
              </w:rPr>
              <w:t xml:space="preserve">Methodology: </w:t>
            </w:r>
            <w:r>
              <w:rPr>
                <w:rFonts w:ascii="Arial" w:hAnsi="Arial"/>
                <w:sz w:val="20"/>
                <w:szCs w:val="20"/>
                <w:lang w:val="en-US"/>
              </w:rPr>
              <w:t xml:space="preserve">In 2021, </w:t>
            </w:r>
            <w:proofErr w:type="spellStart"/>
            <w:r>
              <w:rPr>
                <w:rFonts w:ascii="Arial" w:hAnsi="Arial"/>
                <w:sz w:val="20"/>
                <w:szCs w:val="20"/>
                <w:lang w:val="en-US"/>
              </w:rPr>
              <w:t>Deshkan</w:t>
            </w:r>
            <w:proofErr w:type="spellEnd"/>
            <w:r>
              <w:rPr>
                <w:rFonts w:ascii="Arial" w:hAnsi="Arial"/>
                <w:sz w:val="20"/>
                <w:szCs w:val="20"/>
                <w:lang w:val="en-US"/>
              </w:rPr>
              <w:t xml:space="preserve"> </w:t>
            </w:r>
            <w:proofErr w:type="spellStart"/>
            <w:r>
              <w:rPr>
                <w:rFonts w:ascii="Arial" w:hAnsi="Arial"/>
                <w:sz w:val="20"/>
                <w:szCs w:val="20"/>
                <w:lang w:val="en-US"/>
              </w:rPr>
              <w:t>Ziibiing</w:t>
            </w:r>
            <w:proofErr w:type="spellEnd"/>
            <w:r>
              <w:rPr>
                <w:rFonts w:ascii="Arial" w:hAnsi="Arial"/>
                <w:sz w:val="20"/>
                <w:szCs w:val="20"/>
                <w:lang w:val="en-US"/>
              </w:rPr>
              <w:t xml:space="preserve"> created a </w:t>
            </w:r>
            <w:r>
              <w:rPr>
                <w:rFonts w:ascii="Arial" w:hAnsi="Arial"/>
                <w:sz w:val="20"/>
                <w:szCs w:val="20"/>
                <w:lang w:val="en-US"/>
              </w:rPr>
              <w:t>‘</w:t>
            </w:r>
            <w:r>
              <w:rPr>
                <w:rFonts w:ascii="Arial" w:hAnsi="Arial"/>
                <w:sz w:val="20"/>
                <w:szCs w:val="20"/>
                <w:lang w:val="en-US"/>
              </w:rPr>
              <w:t>Climate Change Liaison</w:t>
            </w:r>
            <w:r>
              <w:rPr>
                <w:rFonts w:ascii="Arial" w:hAnsi="Arial"/>
                <w:sz w:val="20"/>
                <w:szCs w:val="20"/>
                <w:lang w:val="en-US"/>
              </w:rPr>
              <w:t xml:space="preserve">’ </w:t>
            </w:r>
            <w:r>
              <w:rPr>
                <w:rFonts w:ascii="Arial" w:hAnsi="Arial"/>
                <w:sz w:val="20"/>
                <w:szCs w:val="20"/>
                <w:lang w:val="en-US"/>
              </w:rPr>
              <w:t xml:space="preserve">employment position in the Department of Treaties Lands and Environment to advance climate change efforts through a pilot project aimed at creating ethical space (Ermine, 2007) to support an integrated regional watershed management project, targeted at assessing local and regional flood risks through a </w:t>
            </w:r>
            <w:r>
              <w:rPr>
                <w:rFonts w:ascii="Arial" w:hAnsi="Arial"/>
                <w:sz w:val="20"/>
                <w:szCs w:val="20"/>
                <w:lang w:val="en-US"/>
              </w:rPr>
              <w:t>‘</w:t>
            </w:r>
            <w:r>
              <w:rPr>
                <w:rFonts w:ascii="Arial" w:hAnsi="Arial"/>
                <w:sz w:val="20"/>
                <w:szCs w:val="20"/>
                <w:lang w:val="en-US"/>
              </w:rPr>
              <w:t>two-eyed seeing</w:t>
            </w:r>
            <w:r>
              <w:rPr>
                <w:rFonts w:ascii="Arial" w:hAnsi="Arial"/>
                <w:sz w:val="20"/>
                <w:szCs w:val="20"/>
                <w:lang w:val="en-US"/>
              </w:rPr>
              <w:t xml:space="preserve">’ </w:t>
            </w:r>
            <w:r>
              <w:rPr>
                <w:rFonts w:ascii="Arial" w:hAnsi="Arial"/>
                <w:sz w:val="20"/>
                <w:szCs w:val="20"/>
                <w:lang w:val="en-US"/>
              </w:rPr>
              <w:t>approaches (Bartlett, Marshall and Marshall, 2012) integrating Indigenous knowledge and worldviews in flood risk planning with no</w:t>
            </w:r>
            <w:r>
              <w:rPr>
                <w:rFonts w:ascii="Arial" w:hAnsi="Arial"/>
                <w:sz w:val="20"/>
                <w:szCs w:val="20"/>
                <w:lang w:val="en-US"/>
              </w:rPr>
              <w:t xml:space="preserve">n-Indigenous organizations. </w:t>
            </w:r>
          </w:p>
          <w:p w14:paraId="5356B378" w14:textId="77777777" w:rsidR="002E5CCF" w:rsidRDefault="002E5CCF">
            <w:pPr>
              <w:pStyle w:val="Body"/>
              <w:jc w:val="both"/>
              <w:rPr>
                <w:rFonts w:ascii="Arial" w:eastAsia="Arial" w:hAnsi="Arial" w:cs="Arial"/>
                <w:b/>
                <w:bCs/>
                <w:sz w:val="20"/>
                <w:szCs w:val="20"/>
                <w:lang w:val="en-US"/>
              </w:rPr>
            </w:pPr>
          </w:p>
          <w:p w14:paraId="5356B379" w14:textId="77777777" w:rsidR="002E5CCF" w:rsidRDefault="0081055F">
            <w:pPr>
              <w:pStyle w:val="Body"/>
              <w:jc w:val="both"/>
              <w:rPr>
                <w:rFonts w:ascii="Arial" w:eastAsia="Arial" w:hAnsi="Arial" w:cs="Arial"/>
                <w:b/>
                <w:bCs/>
                <w:sz w:val="20"/>
                <w:szCs w:val="20"/>
              </w:rPr>
            </w:pPr>
            <w:r>
              <w:rPr>
                <w:rFonts w:ascii="Arial" w:hAnsi="Arial"/>
                <w:b/>
                <w:bCs/>
                <w:sz w:val="20"/>
                <w:szCs w:val="20"/>
                <w:lang w:val="en-US"/>
              </w:rPr>
              <w:t>Findings</w:t>
            </w:r>
          </w:p>
          <w:p w14:paraId="5356B37A" w14:textId="77777777" w:rsidR="002E5CCF" w:rsidRDefault="0081055F">
            <w:pPr>
              <w:pStyle w:val="Body"/>
              <w:jc w:val="both"/>
              <w:rPr>
                <w:rFonts w:ascii="Arial" w:eastAsia="Arial" w:hAnsi="Arial" w:cs="Arial"/>
                <w:sz w:val="20"/>
                <w:szCs w:val="20"/>
              </w:rPr>
            </w:pPr>
            <w:r>
              <w:rPr>
                <w:rFonts w:ascii="Arial" w:hAnsi="Arial"/>
                <w:sz w:val="20"/>
                <w:szCs w:val="20"/>
                <w:lang w:val="en-US"/>
              </w:rPr>
              <w:t xml:space="preserve">The integrated regional watershed management pilot project and flood risk planning exercise provided a successful and critical opportunity for </w:t>
            </w:r>
            <w:proofErr w:type="spellStart"/>
            <w:r>
              <w:rPr>
                <w:rFonts w:ascii="Arial" w:hAnsi="Arial"/>
                <w:sz w:val="20"/>
                <w:szCs w:val="20"/>
                <w:lang w:val="en-US"/>
              </w:rPr>
              <w:t>Deshkan</w:t>
            </w:r>
            <w:proofErr w:type="spellEnd"/>
            <w:r>
              <w:rPr>
                <w:rFonts w:ascii="Arial" w:hAnsi="Arial"/>
                <w:sz w:val="20"/>
                <w:szCs w:val="20"/>
                <w:lang w:val="en-US"/>
              </w:rPr>
              <w:t xml:space="preserve"> </w:t>
            </w:r>
            <w:proofErr w:type="spellStart"/>
            <w:r>
              <w:rPr>
                <w:rFonts w:ascii="Arial" w:hAnsi="Arial"/>
                <w:sz w:val="20"/>
                <w:szCs w:val="20"/>
                <w:lang w:val="en-US"/>
              </w:rPr>
              <w:t>Ziibiing</w:t>
            </w:r>
            <w:proofErr w:type="spellEnd"/>
            <w:r>
              <w:rPr>
                <w:rFonts w:ascii="Arial" w:hAnsi="Arial"/>
                <w:sz w:val="20"/>
                <w:szCs w:val="20"/>
                <w:lang w:val="en-US"/>
              </w:rPr>
              <w:t xml:space="preserve"> to collaborate regionally with non-traditional partners, while the longer-term creation of the Climate Change Liaison employment position provides ongoing support for capacity building and bridging opportunities for Indigenous and non-Indigenous organizations to collaboration more broadly on shared issues of climate change risk and opportunities for collaborative responses.  </w:t>
            </w:r>
          </w:p>
          <w:p w14:paraId="5356B37B" w14:textId="77777777" w:rsidR="002E5CCF" w:rsidRDefault="002E5CCF">
            <w:pPr>
              <w:pStyle w:val="Body"/>
              <w:jc w:val="both"/>
              <w:rPr>
                <w:rFonts w:ascii="Arial" w:eastAsia="Arial" w:hAnsi="Arial" w:cs="Arial"/>
                <w:b/>
                <w:bCs/>
                <w:sz w:val="20"/>
                <w:szCs w:val="20"/>
                <w:lang w:val="en-US"/>
              </w:rPr>
            </w:pPr>
          </w:p>
          <w:p w14:paraId="5356B37C" w14:textId="77777777" w:rsidR="002E5CCF" w:rsidRDefault="0081055F">
            <w:pPr>
              <w:pStyle w:val="Body"/>
              <w:jc w:val="both"/>
              <w:rPr>
                <w:rFonts w:ascii="Arial" w:eastAsia="Arial" w:hAnsi="Arial" w:cs="Arial"/>
                <w:b/>
                <w:bCs/>
                <w:sz w:val="20"/>
                <w:szCs w:val="20"/>
              </w:rPr>
            </w:pPr>
            <w:r>
              <w:rPr>
                <w:rFonts w:ascii="Arial" w:hAnsi="Arial"/>
                <w:b/>
                <w:bCs/>
                <w:sz w:val="20"/>
                <w:szCs w:val="20"/>
                <w:lang w:val="en-US"/>
              </w:rPr>
              <w:t xml:space="preserve">Significance of the work for policy and practice </w:t>
            </w:r>
          </w:p>
          <w:p w14:paraId="5356B37D" w14:textId="77777777" w:rsidR="002E5CCF" w:rsidRDefault="0081055F">
            <w:pPr>
              <w:pStyle w:val="Default"/>
              <w:spacing w:before="0" w:after="320" w:line="240" w:lineRule="auto"/>
              <w:jc w:val="both"/>
              <w:rPr>
                <w:rFonts w:ascii="Arial" w:eastAsia="Arial" w:hAnsi="Arial" w:cs="Arial"/>
                <w:sz w:val="20"/>
                <w:szCs w:val="20"/>
              </w:rPr>
            </w:pPr>
            <w:proofErr w:type="spellStart"/>
            <w:r>
              <w:rPr>
                <w:rFonts w:ascii="Arial" w:hAnsi="Arial"/>
                <w:sz w:val="20"/>
                <w:szCs w:val="20"/>
              </w:rPr>
              <w:t>Deshkan</w:t>
            </w:r>
            <w:proofErr w:type="spellEnd"/>
            <w:r>
              <w:rPr>
                <w:rFonts w:ascii="Arial" w:hAnsi="Arial"/>
                <w:sz w:val="20"/>
                <w:szCs w:val="20"/>
              </w:rPr>
              <w:t xml:space="preserve"> </w:t>
            </w:r>
            <w:proofErr w:type="spellStart"/>
            <w:r>
              <w:rPr>
                <w:rFonts w:ascii="Arial" w:hAnsi="Arial"/>
                <w:sz w:val="20"/>
                <w:szCs w:val="20"/>
              </w:rPr>
              <w:t>Ziibiing</w:t>
            </w:r>
            <w:proofErr w:type="spellEnd"/>
            <w:r>
              <w:rPr>
                <w:rFonts w:ascii="Arial" w:hAnsi="Arial"/>
                <w:sz w:val="20"/>
                <w:szCs w:val="20"/>
              </w:rPr>
              <w:t xml:space="preserve"> is providing a leading example for how to advance innovative approaches to build and sustain community</w:t>
            </w:r>
            <w:r>
              <w:rPr>
                <w:rFonts w:ascii="Arial" w:hAnsi="Arial"/>
                <w:sz w:val="20"/>
                <w:szCs w:val="20"/>
              </w:rPr>
              <w:t xml:space="preserve"> </w:t>
            </w:r>
            <w:r>
              <w:rPr>
                <w:rFonts w:ascii="Arial" w:hAnsi="Arial"/>
                <w:sz w:val="20"/>
                <w:szCs w:val="20"/>
              </w:rPr>
              <w:t>capacity, strengthen relationships, develop shared understanding of climate challenges, while leveraging and enhancing</w:t>
            </w:r>
            <w:r>
              <w:rPr>
                <w:rFonts w:ascii="Arial" w:hAnsi="Arial"/>
                <w:sz w:val="20"/>
                <w:szCs w:val="20"/>
                <w:lang w:val="it-IT"/>
              </w:rPr>
              <w:t xml:space="preserve"> collaborative regional </w:t>
            </w:r>
            <w:r>
              <w:rPr>
                <w:rFonts w:ascii="Arial" w:hAnsi="Arial"/>
                <w:sz w:val="20"/>
                <w:szCs w:val="20"/>
              </w:rPr>
              <w:t>opportunities to respond</w:t>
            </w:r>
            <w:r>
              <w:rPr>
                <w:rFonts w:ascii="Arial" w:hAnsi="Arial"/>
                <w:sz w:val="20"/>
                <w:szCs w:val="20"/>
              </w:rPr>
              <w:t xml:space="preserve"> to climate impacts. This includes regional efforts to mobilize nature-based solutions and energy efficiency and conservation support for Indigenous resilience and broader and longer-term regional objectives related to reducing greenhouse gases and the impacts of agricultural water pollution, as well as supporting biodiversity, carbon sequestration and preventing erosion associated with extreme weather events through riparian zone and wetland restoration providing co-beneficial opportunities for Indigenous </w:t>
            </w:r>
            <w:r>
              <w:rPr>
                <w:rFonts w:ascii="Arial" w:hAnsi="Arial"/>
                <w:sz w:val="20"/>
                <w:szCs w:val="20"/>
              </w:rPr>
              <w:t>Land Guardians employment.</w:t>
            </w:r>
          </w:p>
          <w:p w14:paraId="5356B37E" w14:textId="77777777" w:rsidR="002E5CCF" w:rsidRDefault="0081055F">
            <w:pPr>
              <w:pStyle w:val="Default"/>
              <w:spacing w:before="0" w:line="240" w:lineRule="auto"/>
              <w:rPr>
                <w:rFonts w:ascii="Helvetica" w:eastAsia="Helvetica" w:hAnsi="Helvetica" w:cs="Helvetica"/>
                <w:color w:val="2E414F"/>
                <w:sz w:val="20"/>
                <w:szCs w:val="20"/>
                <w:shd w:val="clear" w:color="auto" w:fill="FFFFFF"/>
              </w:rPr>
            </w:pPr>
            <w:r>
              <w:rPr>
                <w:rFonts w:ascii="Helvetica" w:hAnsi="Helvetica"/>
                <w:color w:val="2E414F"/>
                <w:sz w:val="20"/>
                <w:szCs w:val="20"/>
                <w:shd w:val="clear" w:color="auto" w:fill="FFFFFF"/>
              </w:rPr>
              <w:t>Smit, B.E., &amp; Wandel, J. (2006). Adaptation, adaptive capacity and vulnerability. Global Environmental Change-human and Policy Dimensions, 16, 282-292.</w:t>
            </w:r>
          </w:p>
          <w:p w14:paraId="5356B37F" w14:textId="77777777" w:rsidR="002E5CCF" w:rsidRDefault="002E5CCF">
            <w:pPr>
              <w:pStyle w:val="Default"/>
              <w:spacing w:before="0" w:line="240" w:lineRule="auto"/>
              <w:rPr>
                <w:rFonts w:ascii="Helvetica" w:eastAsia="Helvetica" w:hAnsi="Helvetica" w:cs="Helvetica"/>
                <w:color w:val="2E414F"/>
                <w:sz w:val="20"/>
                <w:szCs w:val="20"/>
                <w:shd w:val="clear" w:color="auto" w:fill="FFFFFF"/>
              </w:rPr>
            </w:pPr>
          </w:p>
          <w:p w14:paraId="5356B380" w14:textId="77777777" w:rsidR="002E5CCF" w:rsidRDefault="0081055F">
            <w:pPr>
              <w:pStyle w:val="Default"/>
              <w:spacing w:before="0" w:line="240" w:lineRule="auto"/>
              <w:rPr>
                <w:rFonts w:ascii="Arial" w:eastAsia="Arial" w:hAnsi="Arial" w:cs="Arial"/>
                <w:color w:val="2E414F"/>
                <w:sz w:val="20"/>
                <w:szCs w:val="20"/>
                <w:shd w:val="clear" w:color="auto" w:fill="FFFFFF"/>
              </w:rPr>
            </w:pPr>
            <w:r>
              <w:rPr>
                <w:rFonts w:ascii="Helvetica" w:hAnsi="Helvetica"/>
                <w:color w:val="2E414F"/>
                <w:sz w:val="20"/>
                <w:szCs w:val="20"/>
                <w:shd w:val="clear" w:color="auto" w:fill="FFFFFF"/>
              </w:rPr>
              <w:t xml:space="preserve">Ermine, W. (2007). The Ethical Space of Engagement. </w:t>
            </w:r>
            <w:hyperlink r:id="rId6" w:history="1">
              <w:r>
                <w:rPr>
                  <w:rStyle w:val="Hyperlink0"/>
                  <w:rFonts w:ascii="Helvetica" w:hAnsi="Helvetica"/>
                  <w:sz w:val="20"/>
                  <w:szCs w:val="20"/>
                  <w:shd w:val="clear" w:color="auto" w:fill="FFFFFF"/>
                </w:rPr>
                <w:t>https://jps.library.utoronto.ca/index.php/ilj/article/view/27669/20400</w:t>
              </w:r>
            </w:hyperlink>
          </w:p>
          <w:p w14:paraId="5356B381" w14:textId="77777777" w:rsidR="002E5CCF" w:rsidRDefault="002E5CCF">
            <w:pPr>
              <w:pStyle w:val="Default"/>
              <w:spacing w:before="0" w:line="240" w:lineRule="auto"/>
              <w:rPr>
                <w:rFonts w:ascii="Arial" w:eastAsia="Arial" w:hAnsi="Arial" w:cs="Arial"/>
                <w:color w:val="2E414F"/>
                <w:sz w:val="20"/>
                <w:szCs w:val="20"/>
                <w:shd w:val="clear" w:color="auto" w:fill="FFFFFF"/>
              </w:rPr>
            </w:pPr>
          </w:p>
          <w:p w14:paraId="5356B382" w14:textId="77777777" w:rsidR="002E5CCF" w:rsidRDefault="0081055F">
            <w:pPr>
              <w:pStyle w:val="Default"/>
              <w:spacing w:before="0" w:line="240" w:lineRule="auto"/>
            </w:pPr>
            <w:r>
              <w:rPr>
                <w:rFonts w:ascii="Arial" w:hAnsi="Arial"/>
                <w:color w:val="2E414F"/>
                <w:sz w:val="20"/>
                <w:szCs w:val="20"/>
                <w:shd w:val="clear" w:color="auto" w:fill="FFFFFF"/>
              </w:rPr>
              <w:t>Bartlett, C., Marshall, M., &amp; Marshall, A. (2012). Two-Eyed Seeing and other lessons learned within a co-learning journey of bringing together indigenous and mainstream knowledges and ways of knowing. Journal of Environmental Studies and Sciences, 2, 331-340.</w:t>
            </w:r>
          </w:p>
        </w:tc>
      </w:tr>
    </w:tbl>
    <w:p w14:paraId="5356B384" w14:textId="77777777" w:rsidR="002E5CCF" w:rsidRDefault="002E5CCF">
      <w:pPr>
        <w:pStyle w:val="Body"/>
        <w:widowControl w:val="0"/>
        <w:ind w:left="108" w:hanging="108"/>
      </w:pPr>
    </w:p>
    <w:sectPr w:rsidR="002E5CCF">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B38B" w14:textId="77777777" w:rsidR="0081055F" w:rsidRDefault="0081055F">
      <w:r>
        <w:separator/>
      </w:r>
    </w:p>
  </w:endnote>
  <w:endnote w:type="continuationSeparator" w:id="0">
    <w:p w14:paraId="5356B38D" w14:textId="77777777" w:rsidR="0081055F" w:rsidRDefault="0081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B386" w14:textId="77777777" w:rsidR="002E5CCF" w:rsidRDefault="002E5CC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B387" w14:textId="77777777" w:rsidR="0081055F" w:rsidRDefault="0081055F">
      <w:r>
        <w:separator/>
      </w:r>
    </w:p>
  </w:footnote>
  <w:footnote w:type="continuationSeparator" w:id="0">
    <w:p w14:paraId="5356B389" w14:textId="77777777" w:rsidR="0081055F" w:rsidRDefault="0081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B385" w14:textId="77777777" w:rsidR="002E5CCF" w:rsidRDefault="002E5CC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CF"/>
    <w:rsid w:val="001A5B11"/>
    <w:rsid w:val="002E5CCF"/>
    <w:rsid w:val="008105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B370"/>
  <w15:docId w15:val="{273D33A2-3CED-49BA-AD51-C4BF39B8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s.library.utoronto.ca/index.php/ilj/article/view/27669/204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2</cp:revision>
  <dcterms:created xsi:type="dcterms:W3CDTF">2025-08-19T01:05:00Z</dcterms:created>
  <dcterms:modified xsi:type="dcterms:W3CDTF">2025-08-19T01:06:00Z</dcterms:modified>
</cp:coreProperties>
</file>