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487FC80D" w:rsidR="001564A4" w:rsidRPr="00DE1686" w:rsidRDefault="004D7CCB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DE168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Patients with </w:t>
            </w:r>
            <w:r w:rsidR="00DE1686">
              <w:rPr>
                <w:rFonts w:ascii="Arial" w:hAnsi="Arial" w:cs="Arial"/>
                <w:b/>
                <w:sz w:val="22"/>
                <w:szCs w:val="22"/>
                <w:lang w:val="en-US"/>
              </w:rPr>
              <w:t>c</w:t>
            </w:r>
            <w:r w:rsidRPr="00DE168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hronic </w:t>
            </w:r>
            <w:r w:rsidR="00DE1686">
              <w:rPr>
                <w:rFonts w:ascii="Arial" w:hAnsi="Arial" w:cs="Arial"/>
                <w:b/>
                <w:sz w:val="22"/>
                <w:szCs w:val="22"/>
                <w:lang w:val="en-US"/>
              </w:rPr>
              <w:t>r</w:t>
            </w:r>
            <w:r w:rsidRPr="00DE168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espiratory </w:t>
            </w:r>
            <w:r w:rsidR="00DE1686">
              <w:rPr>
                <w:rFonts w:ascii="Arial" w:hAnsi="Arial" w:cs="Arial"/>
                <w:b/>
                <w:sz w:val="22"/>
                <w:szCs w:val="22"/>
                <w:lang w:val="en-US"/>
              </w:rPr>
              <w:t>d</w:t>
            </w:r>
            <w:r w:rsidRPr="00DE168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isease </w:t>
            </w:r>
            <w:r w:rsidR="00DE1686">
              <w:rPr>
                <w:rFonts w:ascii="Arial" w:hAnsi="Arial" w:cs="Arial"/>
                <w:b/>
                <w:sz w:val="22"/>
                <w:szCs w:val="22"/>
                <w:lang w:val="en-US"/>
              </w:rPr>
              <w:t>p</w:t>
            </w:r>
            <w:r w:rsidRPr="00DE168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erceptions and </w:t>
            </w:r>
            <w:r w:rsidR="00DE1686">
              <w:rPr>
                <w:rFonts w:ascii="Arial" w:hAnsi="Arial" w:cs="Arial"/>
                <w:b/>
                <w:sz w:val="22"/>
                <w:szCs w:val="22"/>
                <w:lang w:val="en-US"/>
              </w:rPr>
              <w:t>u</w:t>
            </w:r>
            <w:r w:rsidRPr="00DE168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se of </w:t>
            </w:r>
            <w:r w:rsidR="00544B1E" w:rsidRPr="00DE1686">
              <w:rPr>
                <w:rFonts w:ascii="Arial" w:hAnsi="Arial" w:cs="Arial"/>
                <w:b/>
                <w:sz w:val="22"/>
                <w:szCs w:val="22"/>
                <w:lang w:val="en-US"/>
              </w:rPr>
              <w:t>mHealth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359397E8" w:rsidR="001564A4" w:rsidRPr="0046136A" w:rsidRDefault="004D7CCB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vertAlign w:val="superscript"/>
                <w:lang w:eastAsia="zh-CN"/>
              </w:rPr>
            </w:pPr>
            <w:bookmarkStart w:id="0" w:name="Text8"/>
            <w:r w:rsidRPr="00E23A24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GB"/>
              </w:rPr>
              <w:t xml:space="preserve">Mary </w:t>
            </w:r>
            <w:r w:rsidR="0046136A" w:rsidRPr="00E23A24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GB"/>
              </w:rPr>
              <w:t xml:space="preserve">M </w:t>
            </w:r>
            <w:r w:rsidRPr="00E23A24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GB"/>
              </w:rPr>
              <w:t>Roberts</w:t>
            </w:r>
            <w:r w:rsidR="0046136A" w:rsidRPr="00E23A24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DA43A9" w:rsidRPr="00E23A24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 w:eastAsia="en-GB"/>
              </w:rPr>
              <w:t>-</w:t>
            </w:r>
            <w:r w:rsidR="0046136A" w:rsidRPr="00E23A24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1564A4" w:rsidRPr="00E23A24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GB"/>
              </w:rPr>
              <w:t>,</w:t>
            </w:r>
            <w:bookmarkEnd w:id="0"/>
            <w:r w:rsidRPr="00E23A24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GB"/>
              </w:rPr>
              <w:t xml:space="preserve"> </w:t>
            </w:r>
            <w:r w:rsidRPr="00DE36E9">
              <w:rPr>
                <w:rFonts w:ascii="Arial" w:hAnsi="Arial" w:cs="Arial"/>
                <w:color w:val="000000" w:themeColor="text1"/>
                <w:sz w:val="22"/>
                <w:szCs w:val="22"/>
              </w:rPr>
              <w:t>Christiane Boehm</w:t>
            </w:r>
            <w:r w:rsidR="0046136A" w:rsidRPr="00DE36E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="001564A4" w:rsidRPr="00DE36E9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GB"/>
              </w:rPr>
              <w:t>,</w:t>
            </w:r>
            <w:r w:rsidRPr="00DE36E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40F7F">
              <w:rPr>
                <w:rFonts w:ascii="Arial" w:hAnsi="Arial" w:cs="Arial"/>
                <w:color w:val="000000" w:themeColor="text1"/>
                <w:sz w:val="22"/>
                <w:szCs w:val="22"/>
              </w:rPr>
              <w:t>Jan Gesling</w:t>
            </w:r>
            <w:r w:rsidR="0046136A" w:rsidRPr="00140F7F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="001564A4" w:rsidRPr="00140F7F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GB"/>
              </w:rPr>
              <w:t>,</w:t>
            </w:r>
            <w:r w:rsidRPr="00140F7F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GB"/>
              </w:rPr>
              <w:t xml:space="preserve"> </w:t>
            </w:r>
            <w:r w:rsidRPr="00140F7F">
              <w:rPr>
                <w:rFonts w:ascii="Arial" w:hAnsi="Arial" w:cs="Arial"/>
                <w:color w:val="000000" w:themeColor="text1"/>
                <w:sz w:val="22"/>
                <w:szCs w:val="22"/>
              </w:rPr>
              <w:t>Clare Guino</w:t>
            </w:r>
            <w:r w:rsidR="0046136A" w:rsidRPr="00140F7F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="0046136A" w:rsidRPr="00140F7F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GB"/>
              </w:rPr>
              <w:t xml:space="preserve">, </w:t>
            </w:r>
            <w:r w:rsidRPr="000A2689">
              <w:rPr>
                <w:rFonts w:ascii="Arial" w:hAnsi="Arial" w:cs="Arial"/>
                <w:color w:val="000000" w:themeColor="text1"/>
                <w:sz w:val="22"/>
                <w:szCs w:val="22"/>
              </w:rPr>
              <w:t>Lucy Keatley</w:t>
            </w:r>
            <w:r w:rsidR="0046136A" w:rsidRPr="000A268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54AEA">
              <w:rPr>
                <w:rFonts w:ascii="Arial" w:hAnsi="Arial" w:cs="Arial"/>
                <w:sz w:val="22"/>
                <w:szCs w:val="22"/>
              </w:rPr>
              <w:t>,</w:t>
            </w:r>
            <w:r w:rsidRPr="00E23A24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335969">
              <w:rPr>
                <w:rFonts w:ascii="Arial" w:hAnsi="Arial" w:cs="Arial"/>
                <w:color w:val="000000" w:themeColor="text1"/>
                <w:sz w:val="22"/>
                <w:szCs w:val="22"/>
              </w:rPr>
              <w:t>Abby Liu</w:t>
            </w:r>
            <w:r w:rsidR="0046136A" w:rsidRPr="0033596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335969">
              <w:rPr>
                <w:rFonts w:ascii="Arial" w:hAnsi="Arial" w:cs="Arial"/>
                <w:color w:val="000000" w:themeColor="text1"/>
                <w:sz w:val="22"/>
                <w:szCs w:val="22"/>
              </w:rPr>
              <w:t>, Estela Pessoa</w:t>
            </w:r>
            <w:r w:rsidR="0046136A" w:rsidRPr="0033596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54AEA">
              <w:rPr>
                <w:rFonts w:ascii="Arial" w:hAnsi="Arial" w:cs="Arial"/>
                <w:sz w:val="22"/>
                <w:szCs w:val="22"/>
              </w:rPr>
              <w:t>,</w:t>
            </w:r>
            <w:r w:rsidRPr="00E23A24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335969">
              <w:rPr>
                <w:rFonts w:ascii="Arial" w:hAnsi="Arial" w:cs="Arial"/>
                <w:color w:val="000000" w:themeColor="text1"/>
                <w:sz w:val="22"/>
                <w:szCs w:val="22"/>
              </w:rPr>
              <w:t>Joshua Regis</w:t>
            </w:r>
            <w:r w:rsidR="0046136A" w:rsidRPr="0033596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="0046136A" w:rsidRPr="000B68D3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0B68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Christine Sausa</w:t>
            </w:r>
            <w:r w:rsidR="0046136A" w:rsidRPr="000B68D3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0B68D3">
              <w:rPr>
                <w:rFonts w:ascii="Arial" w:hAnsi="Arial" w:cs="Arial"/>
                <w:color w:val="000000" w:themeColor="text1"/>
                <w:sz w:val="22"/>
                <w:szCs w:val="22"/>
              </w:rPr>
              <w:t>, Tracy Smith</w:t>
            </w:r>
            <w:r w:rsidR="0046136A" w:rsidRPr="000B68D3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1,2</w:t>
            </w:r>
            <w:r w:rsidR="0046136A" w:rsidRPr="000B68D3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0B68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John </w:t>
            </w:r>
            <w:r w:rsidR="0046136A" w:rsidRPr="000B68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 </w:t>
            </w:r>
            <w:r w:rsidRPr="000B68D3">
              <w:rPr>
                <w:rFonts w:ascii="Arial" w:hAnsi="Arial" w:cs="Arial"/>
                <w:color w:val="000000" w:themeColor="text1"/>
                <w:sz w:val="22"/>
                <w:szCs w:val="22"/>
              </w:rPr>
              <w:t>Wheatley</w:t>
            </w:r>
            <w:r w:rsidR="0046136A" w:rsidRPr="000B68D3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="00DA43A9" w:rsidRPr="000B68D3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-</w:t>
            </w:r>
            <w:r w:rsidR="0046136A" w:rsidRPr="000B68D3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0B68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&amp; Jin-Gun Cho</w:t>
            </w:r>
            <w:r w:rsidR="0046136A" w:rsidRPr="000B68D3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="00DA43A9" w:rsidRPr="000B68D3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-</w:t>
            </w:r>
            <w:r w:rsidR="0046136A" w:rsidRPr="000B68D3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67049486" w14:textId="3430A1F1" w:rsidR="00DA43A9" w:rsidRDefault="00DA43A9" w:rsidP="00DA43A9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1</w:t>
            </w:r>
            <w:r w:rsidRPr="003A2E93">
              <w:rPr>
                <w:rFonts w:ascii="Arial" w:hAnsi="Arial" w:cs="Arial"/>
                <w:i/>
                <w:iCs/>
                <w:sz w:val="22"/>
                <w:szCs w:val="22"/>
              </w:rPr>
              <w:t>Department of Respiratory and Sleep Medicine, Westmead Hospital, Western Sydney Local Health District, NSW, Australia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6E0B94D7" w14:textId="1D92C182" w:rsidR="00DA43A9" w:rsidRDefault="00DA43A9" w:rsidP="00DA43A9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Pr="003A2E9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Faculty of Medicine and Health, The University of Sydney at Westmead Hospital, NSW, Australia </w:t>
            </w:r>
          </w:p>
          <w:p w14:paraId="3DA0A005" w14:textId="77777777" w:rsidR="00DA43A9" w:rsidRDefault="00DA43A9" w:rsidP="00DA43A9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3</w:t>
            </w:r>
            <w:r w:rsidRPr="003A2E93">
              <w:rPr>
                <w:rFonts w:ascii="Arial" w:hAnsi="Arial" w:cs="Arial"/>
                <w:i/>
                <w:iCs/>
                <w:sz w:val="22"/>
                <w:szCs w:val="22"/>
              </w:rPr>
              <w:t>Ludwig Engel Centre for Respiratory Research, Westmead Institute for Medical Research, Westmead, NSW, Australia</w:t>
            </w:r>
          </w:p>
          <w:p w14:paraId="45ED36BF" w14:textId="51CC8A17" w:rsidR="001564A4" w:rsidRPr="002403C7" w:rsidRDefault="002403C7" w:rsidP="002403C7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03C7">
              <w:rPr>
                <w:rFonts w:ascii="Arial" w:eastAsiaTheme="minorHAnsi" w:hAnsi="Arial" w:cs="Arial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4</w:t>
            </w:r>
            <w:r w:rsidRPr="002403C7">
              <w:rPr>
                <w:rFonts w:ascii="Arial" w:eastAsiaTheme="minorHAnsi" w:hAnsi="Arial" w:cs="Arial"/>
                <w:i/>
                <w:iCs/>
                <w:color w:val="000000" w:themeColor="text1"/>
                <w:sz w:val="22"/>
                <w:szCs w:val="22"/>
              </w:rPr>
              <w:t>Faculty of Health, Improving Palliative Care, Aged and Chronic Care through Clinical Research and Translation (IMPACCT), University of Technology, NSW</w:t>
            </w:r>
            <w:r>
              <w:rPr>
                <w:rFonts w:ascii="Arial" w:eastAsiaTheme="minorHAnsi" w:hAnsi="Arial" w:cs="Arial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Pr="003A2E93">
              <w:rPr>
                <w:rFonts w:ascii="Arial" w:hAnsi="Arial" w:cs="Arial"/>
                <w:i/>
                <w:iCs/>
                <w:sz w:val="22"/>
                <w:szCs w:val="22"/>
              </w:rPr>
              <w:t>Australia</w:t>
            </w:r>
            <w:r w:rsidRPr="002403C7">
              <w:rPr>
                <w:rFonts w:ascii="Arial" w:eastAsiaTheme="minorHAnsi" w:hAnsi="Arial" w:cs="Arial"/>
                <w:color w:val="FFFFFF"/>
                <w:sz w:val="22"/>
                <w:szCs w:val="22"/>
              </w:rPr>
              <w:t>.</w:t>
            </w:r>
          </w:p>
        </w:tc>
      </w:tr>
      <w:tr w:rsidR="001564A4" w:rsidRPr="0050053A" w14:paraId="6DAF615A" w14:textId="77777777" w:rsidTr="006F669A">
        <w:trPr>
          <w:trHeight w:hRule="exact" w:val="7105"/>
          <w:jc w:val="center"/>
        </w:trPr>
        <w:tc>
          <w:tcPr>
            <w:tcW w:w="8640" w:type="dxa"/>
            <w:shd w:val="clear" w:color="auto" w:fill="auto"/>
          </w:tcPr>
          <w:p w14:paraId="10C8E9B7" w14:textId="2CB1070B" w:rsidR="004D7CCB" w:rsidRPr="0046136A" w:rsidRDefault="001564A4" w:rsidP="004613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136A">
              <w:rPr>
                <w:rStyle w:val="A4"/>
                <w:rFonts w:ascii="Arial" w:hAnsi="Arial" w:cs="Arial"/>
                <w:b/>
                <w:bCs/>
              </w:rPr>
              <w:t xml:space="preserve">Introduction/Aim: </w:t>
            </w:r>
            <w:r w:rsidR="004D7CCB" w:rsidRPr="0046136A">
              <w:rPr>
                <w:rFonts w:ascii="Arial" w:hAnsi="Arial" w:cs="Arial"/>
                <w:color w:val="000000"/>
                <w:sz w:val="22"/>
                <w:szCs w:val="22"/>
              </w:rPr>
              <w:t xml:space="preserve">Chronic </w:t>
            </w:r>
            <w:r w:rsidR="00127FF9">
              <w:rPr>
                <w:rFonts w:ascii="Arial" w:hAnsi="Arial" w:cs="Arial"/>
                <w:color w:val="000000"/>
                <w:sz w:val="22"/>
                <w:szCs w:val="22"/>
              </w:rPr>
              <w:t>respiratory</w:t>
            </w:r>
            <w:r w:rsidR="004D7CCB" w:rsidRPr="0046136A">
              <w:rPr>
                <w:rFonts w:ascii="Arial" w:hAnsi="Arial" w:cs="Arial"/>
                <w:color w:val="000000"/>
                <w:sz w:val="22"/>
                <w:szCs w:val="22"/>
              </w:rPr>
              <w:t xml:space="preserve"> diseases </w:t>
            </w:r>
            <w:r w:rsidR="0046136A" w:rsidRPr="0046136A">
              <w:rPr>
                <w:rFonts w:ascii="Arial" w:hAnsi="Arial" w:cs="Arial"/>
                <w:color w:val="000000"/>
                <w:sz w:val="22"/>
                <w:szCs w:val="22"/>
              </w:rPr>
              <w:t>(C</w:t>
            </w:r>
            <w:r w:rsidR="00127FF9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="0046136A" w:rsidRPr="0046136A">
              <w:rPr>
                <w:rFonts w:ascii="Arial" w:hAnsi="Arial" w:cs="Arial"/>
                <w:color w:val="000000"/>
                <w:sz w:val="22"/>
                <w:szCs w:val="22"/>
              </w:rPr>
              <w:t xml:space="preserve">D) </w:t>
            </w:r>
            <w:r w:rsidR="004D7CCB" w:rsidRPr="0046136A">
              <w:rPr>
                <w:rFonts w:ascii="Arial" w:hAnsi="Arial" w:cs="Arial"/>
                <w:color w:val="000000"/>
                <w:sz w:val="22"/>
                <w:szCs w:val="22"/>
              </w:rPr>
              <w:t>are common in Australia. Using self-reported data from the National Health Survey 2020</w:t>
            </w:r>
            <w:r w:rsidR="00A33B69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="004D7CCB" w:rsidRPr="0046136A">
              <w:rPr>
                <w:rFonts w:ascii="Arial" w:hAnsi="Arial" w:cs="Arial"/>
                <w:color w:val="000000"/>
                <w:sz w:val="22"/>
                <w:szCs w:val="22"/>
              </w:rPr>
              <w:t xml:space="preserve">21, almost one third of Australians reported they had a </w:t>
            </w:r>
            <w:r w:rsidR="00127FF9">
              <w:rPr>
                <w:rFonts w:ascii="Arial" w:hAnsi="Arial" w:cs="Arial"/>
                <w:color w:val="000000"/>
                <w:sz w:val="22"/>
                <w:szCs w:val="22"/>
              </w:rPr>
              <w:t>CR</w:t>
            </w:r>
            <w:r w:rsidR="002403C7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="004D7CCB" w:rsidRPr="0046136A">
              <w:rPr>
                <w:rFonts w:ascii="Arial" w:hAnsi="Arial" w:cs="Arial"/>
                <w:color w:val="000000"/>
                <w:sz w:val="22"/>
                <w:szCs w:val="22"/>
              </w:rPr>
              <w:t xml:space="preserve">. To alleviate the burden on the healthcare system, mobile health (mHealth) technology has been suggested as </w:t>
            </w:r>
            <w:r w:rsidR="00A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a </w:t>
            </w:r>
            <w:r w:rsidR="004D7CCB" w:rsidRPr="0046136A">
              <w:rPr>
                <w:rFonts w:ascii="Arial" w:hAnsi="Arial" w:cs="Arial"/>
                <w:color w:val="000000"/>
                <w:sz w:val="22"/>
                <w:szCs w:val="22"/>
              </w:rPr>
              <w:t xml:space="preserve">potential solution. mHealth </w:t>
            </w:r>
            <w:r w:rsidR="002403C7">
              <w:rPr>
                <w:rFonts w:ascii="Arial" w:hAnsi="Arial" w:cs="Arial"/>
                <w:color w:val="000000"/>
                <w:sz w:val="22"/>
                <w:szCs w:val="22"/>
              </w:rPr>
              <w:t>is</w:t>
            </w:r>
            <w:r w:rsidR="0046136A" w:rsidRPr="0046136A">
              <w:rPr>
                <w:rFonts w:ascii="Arial" w:hAnsi="Arial" w:cs="Arial"/>
                <w:color w:val="000000"/>
                <w:sz w:val="22"/>
                <w:szCs w:val="22"/>
              </w:rPr>
              <w:t xml:space="preserve"> the </w:t>
            </w:r>
            <w:r w:rsidR="004D7CCB" w:rsidRPr="0046136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use of mobile devices (phones, tablets, etc.) to improve health outcome</w:t>
            </w:r>
            <w:r w:rsidR="0046136A" w:rsidRPr="0046136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s. </w:t>
            </w:r>
            <w:r w:rsidR="00E1055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mHealth gained popularity during the COVID-19 pandemic due to lockdown restrictions.</w:t>
            </w:r>
          </w:p>
          <w:p w14:paraId="621A0C65" w14:textId="34D5D402" w:rsidR="004D7CCB" w:rsidRPr="0046136A" w:rsidRDefault="0046136A" w:rsidP="0046136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136A">
              <w:rPr>
                <w:rFonts w:ascii="Arial" w:hAnsi="Arial" w:cs="Arial"/>
                <w:sz w:val="22"/>
                <w:szCs w:val="22"/>
              </w:rPr>
              <w:t>Aims: To d</w:t>
            </w:r>
            <w:r w:rsidR="004D7CCB" w:rsidRPr="0046136A">
              <w:rPr>
                <w:rFonts w:ascii="Arial" w:hAnsi="Arial" w:cs="Arial"/>
                <w:bCs/>
                <w:sz w:val="22"/>
                <w:szCs w:val="22"/>
              </w:rPr>
              <w:t xml:space="preserve">escribe the demographics of </w:t>
            </w:r>
            <w:r w:rsidRPr="0046136A">
              <w:rPr>
                <w:rFonts w:ascii="Arial" w:hAnsi="Arial" w:cs="Arial"/>
                <w:bCs/>
                <w:sz w:val="22"/>
                <w:szCs w:val="22"/>
              </w:rPr>
              <w:t>patients with C</w:t>
            </w:r>
            <w:r w:rsidR="00127FF9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Pr="0046136A">
              <w:rPr>
                <w:rFonts w:ascii="Arial" w:hAnsi="Arial" w:cs="Arial"/>
                <w:bCs/>
                <w:sz w:val="22"/>
                <w:szCs w:val="22"/>
              </w:rPr>
              <w:t xml:space="preserve">D </w:t>
            </w:r>
            <w:r w:rsidR="004D7CCB" w:rsidRPr="0046136A">
              <w:rPr>
                <w:rFonts w:ascii="Arial" w:hAnsi="Arial" w:cs="Arial"/>
                <w:bCs/>
                <w:sz w:val="22"/>
                <w:szCs w:val="22"/>
              </w:rPr>
              <w:t xml:space="preserve">accessing care through </w:t>
            </w:r>
            <w:r w:rsidR="002403C7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46136A">
              <w:rPr>
                <w:rFonts w:ascii="Arial" w:hAnsi="Arial" w:cs="Arial"/>
                <w:bCs/>
                <w:sz w:val="22"/>
                <w:szCs w:val="22"/>
              </w:rPr>
              <w:t xml:space="preserve"> local </w:t>
            </w:r>
            <w:r w:rsidR="00127FF9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Pr="0046136A">
              <w:rPr>
                <w:rFonts w:ascii="Arial" w:hAnsi="Arial" w:cs="Arial"/>
                <w:bCs/>
                <w:sz w:val="22"/>
                <w:szCs w:val="22"/>
              </w:rPr>
              <w:t xml:space="preserve">espiratory </w:t>
            </w:r>
            <w:r w:rsidR="00127FF9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46136A">
              <w:rPr>
                <w:rFonts w:ascii="Arial" w:hAnsi="Arial" w:cs="Arial"/>
                <w:bCs/>
                <w:sz w:val="22"/>
                <w:szCs w:val="22"/>
              </w:rPr>
              <w:t>epartment</w:t>
            </w:r>
            <w:r w:rsidR="004D7CCB" w:rsidRPr="0046136A">
              <w:rPr>
                <w:rFonts w:ascii="Arial" w:hAnsi="Arial" w:cs="Arial"/>
                <w:bCs/>
                <w:sz w:val="22"/>
                <w:szCs w:val="22"/>
              </w:rPr>
              <w:t xml:space="preserve"> and their use of </w:t>
            </w:r>
            <w:r w:rsidR="002403C7">
              <w:rPr>
                <w:rFonts w:ascii="Arial" w:hAnsi="Arial" w:cs="Arial"/>
                <w:bCs/>
                <w:sz w:val="22"/>
                <w:szCs w:val="22"/>
              </w:rPr>
              <w:t xml:space="preserve">mobile </w:t>
            </w:r>
            <w:r w:rsidR="004D7CCB" w:rsidRPr="0046136A">
              <w:rPr>
                <w:rFonts w:ascii="Arial" w:hAnsi="Arial" w:cs="Arial"/>
                <w:bCs/>
                <w:sz w:val="22"/>
                <w:szCs w:val="22"/>
              </w:rPr>
              <w:t>phones</w:t>
            </w:r>
            <w:r w:rsidRPr="0046136A">
              <w:rPr>
                <w:rFonts w:ascii="Arial" w:hAnsi="Arial" w:cs="Arial"/>
                <w:bCs/>
                <w:sz w:val="22"/>
                <w:szCs w:val="22"/>
              </w:rPr>
              <w:t xml:space="preserve">/tablets and to </w:t>
            </w:r>
            <w:r w:rsidR="004D7CCB" w:rsidRPr="0046136A">
              <w:rPr>
                <w:rFonts w:ascii="Arial" w:hAnsi="Arial" w:cs="Arial"/>
                <w:bCs/>
                <w:sz w:val="22"/>
                <w:szCs w:val="22"/>
              </w:rPr>
              <w:t>identify potential barriers and facilitators that might influence the uptake of mHealth</w:t>
            </w:r>
            <w:r w:rsidR="00A33B6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0832D1B" w14:textId="1042F571" w:rsidR="004D7CCB" w:rsidRPr="0046136A" w:rsidRDefault="001564A4" w:rsidP="0046136A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46136A">
              <w:rPr>
                <w:rStyle w:val="A4"/>
                <w:rFonts w:ascii="Arial" w:hAnsi="Arial" w:cs="Arial"/>
                <w:b/>
                <w:bCs/>
              </w:rPr>
              <w:t xml:space="preserve">Methods: </w:t>
            </w:r>
            <w:r w:rsidR="004D7CCB" w:rsidRPr="0046136A">
              <w:rPr>
                <w:rFonts w:ascii="Arial" w:hAnsi="Arial" w:cs="Arial"/>
                <w:bCs/>
                <w:sz w:val="22"/>
                <w:szCs w:val="22"/>
              </w:rPr>
              <w:t>Cross sectional/observational study</w:t>
            </w:r>
            <w:r w:rsidR="0046136A" w:rsidRPr="0046136A">
              <w:rPr>
                <w:rFonts w:ascii="Arial" w:hAnsi="Arial" w:cs="Arial"/>
                <w:bCs/>
                <w:sz w:val="22"/>
                <w:szCs w:val="22"/>
              </w:rPr>
              <w:t xml:space="preserve"> using a </w:t>
            </w:r>
            <w:r w:rsidR="0046136A" w:rsidRPr="0046136A">
              <w:rPr>
                <w:rFonts w:ascii="Arial" w:hAnsi="Arial" w:cs="Arial"/>
                <w:sz w:val="22"/>
                <w:szCs w:val="22"/>
              </w:rPr>
              <w:t>non-validated questionnaire used in a previous study</w:t>
            </w:r>
            <w:r w:rsidR="00127FF9">
              <w:rPr>
                <w:rFonts w:ascii="Arial" w:hAnsi="Arial" w:cs="Arial"/>
                <w:sz w:val="22"/>
                <w:szCs w:val="22"/>
              </w:rPr>
              <w:t>,</w:t>
            </w:r>
            <w:r w:rsidR="0046136A" w:rsidRPr="0046136A">
              <w:rPr>
                <w:rFonts w:ascii="Arial" w:hAnsi="Arial" w:cs="Arial"/>
                <w:sz w:val="22"/>
                <w:szCs w:val="22"/>
              </w:rPr>
              <w:t xml:space="preserve"> modified to suit an Australian population</w:t>
            </w:r>
            <w:r w:rsidR="002403C7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2403C7" w:rsidRPr="0046136A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2403C7">
              <w:rPr>
                <w:rFonts w:ascii="Arial" w:hAnsi="Arial" w:cs="Arial"/>
                <w:sz w:val="22"/>
                <w:szCs w:val="22"/>
              </w:rPr>
              <w:t>permission).</w:t>
            </w:r>
          </w:p>
          <w:p w14:paraId="68537800" w14:textId="7A731AEC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CB3A2A" w:rsidRPr="00CB3A2A">
              <w:rPr>
                <w:rStyle w:val="A4"/>
              </w:rPr>
              <w:t>Data was available on 191 patients (53% female</w:t>
            </w:r>
            <w:r w:rsidR="00CB3A2A">
              <w:rPr>
                <w:rStyle w:val="A4"/>
              </w:rPr>
              <w:t>, 60% Australia</w:t>
            </w:r>
            <w:r w:rsidR="00127FF9">
              <w:rPr>
                <w:rStyle w:val="A4"/>
              </w:rPr>
              <w:t>n born</w:t>
            </w:r>
            <w:r w:rsidR="00CB3A2A" w:rsidRPr="00CB3A2A">
              <w:rPr>
                <w:rStyle w:val="A4"/>
              </w:rPr>
              <w:t>)</w:t>
            </w:r>
            <w:r w:rsidR="00CB3A2A">
              <w:rPr>
                <w:rStyle w:val="A4"/>
              </w:rPr>
              <w:t xml:space="preserve">. </w:t>
            </w:r>
            <w:r w:rsidR="00E10555">
              <w:rPr>
                <w:rStyle w:val="A4"/>
              </w:rPr>
              <w:t xml:space="preserve">Within the </w:t>
            </w:r>
            <w:r w:rsidR="00127FF9">
              <w:rPr>
                <w:rStyle w:val="A4"/>
              </w:rPr>
              <w:t>respondents</w:t>
            </w:r>
            <w:r w:rsidR="00E10555">
              <w:rPr>
                <w:rStyle w:val="A4"/>
              </w:rPr>
              <w:t xml:space="preserve">, </w:t>
            </w:r>
            <w:r w:rsidR="00CB3A2A">
              <w:rPr>
                <w:rStyle w:val="A4"/>
              </w:rPr>
              <w:t>15% were under 35yrs, 22% between</w:t>
            </w:r>
            <w:r w:rsidR="000813A8">
              <w:rPr>
                <w:rStyle w:val="A4"/>
              </w:rPr>
              <w:t xml:space="preserve"> </w:t>
            </w:r>
            <w:r w:rsidR="00CB3A2A">
              <w:rPr>
                <w:rStyle w:val="A4"/>
              </w:rPr>
              <w:t>35</w:t>
            </w:r>
            <w:r w:rsidR="000813A8">
              <w:rPr>
                <w:rStyle w:val="A4"/>
              </w:rPr>
              <w:t>-</w:t>
            </w:r>
            <w:r w:rsidR="00CB3A2A">
              <w:rPr>
                <w:rStyle w:val="A4"/>
              </w:rPr>
              <w:t xml:space="preserve">55yrs and 62% over the age of 55yrs. </w:t>
            </w:r>
            <w:r w:rsidR="00E10555">
              <w:rPr>
                <w:rStyle w:val="A4"/>
              </w:rPr>
              <w:t>Mobile phone ownership was high (88%)</w:t>
            </w:r>
            <w:r w:rsidR="00CB3A2A">
              <w:rPr>
                <w:rStyle w:val="A4"/>
              </w:rPr>
              <w:t xml:space="preserve"> but </w:t>
            </w:r>
            <w:r w:rsidR="000813A8">
              <w:rPr>
                <w:rStyle w:val="A4"/>
              </w:rPr>
              <w:t xml:space="preserve">only 43% reported they could send, reply and click on links within text messages. </w:t>
            </w:r>
            <w:r w:rsidR="00E10555">
              <w:rPr>
                <w:rStyle w:val="A4"/>
              </w:rPr>
              <w:t>S</w:t>
            </w:r>
            <w:r w:rsidR="000813A8">
              <w:rPr>
                <w:rStyle w:val="A4"/>
              </w:rPr>
              <w:t xml:space="preserve">ocial media </w:t>
            </w:r>
            <w:r w:rsidR="00E10555">
              <w:rPr>
                <w:rStyle w:val="A4"/>
              </w:rPr>
              <w:t xml:space="preserve">use was high (73%), </w:t>
            </w:r>
            <w:r w:rsidR="000813A8">
              <w:rPr>
                <w:rStyle w:val="A4"/>
              </w:rPr>
              <w:t xml:space="preserve">with Facebook being the most common (43%). Although 48% of respondents reported using a health </w:t>
            </w:r>
            <w:r w:rsidR="00127FF9">
              <w:rPr>
                <w:rStyle w:val="A4"/>
              </w:rPr>
              <w:t>‘</w:t>
            </w:r>
            <w:r w:rsidR="000813A8">
              <w:rPr>
                <w:rStyle w:val="A4"/>
              </w:rPr>
              <w:t>app</w:t>
            </w:r>
            <w:r w:rsidR="00127FF9">
              <w:rPr>
                <w:rStyle w:val="A4"/>
              </w:rPr>
              <w:t>’</w:t>
            </w:r>
            <w:r w:rsidR="000813A8">
              <w:rPr>
                <w:rStyle w:val="A4"/>
              </w:rPr>
              <w:t xml:space="preserve">, 60% reported they would be interested in using one. </w:t>
            </w:r>
            <w:r w:rsidR="00A33B69">
              <w:rPr>
                <w:rStyle w:val="A4"/>
              </w:rPr>
              <w:t>Telehealth use was low</w:t>
            </w:r>
            <w:r w:rsidR="00127FF9">
              <w:rPr>
                <w:rStyle w:val="A4"/>
              </w:rPr>
              <w:t>,</w:t>
            </w:r>
            <w:r w:rsidR="00A33B69">
              <w:rPr>
                <w:rStyle w:val="A4"/>
              </w:rPr>
              <w:t xml:space="preserve"> with only 30% of respondents citing use. </w:t>
            </w:r>
            <w:r w:rsidR="000813A8">
              <w:rPr>
                <w:rStyle w:val="A4"/>
              </w:rPr>
              <w:t>Barriers to</w:t>
            </w:r>
            <w:r w:rsidR="00A33B69">
              <w:rPr>
                <w:rStyle w:val="A4"/>
              </w:rPr>
              <w:t xml:space="preserve"> using phones for mHealth included reducing face</w:t>
            </w:r>
            <w:r w:rsidR="00127FF9">
              <w:rPr>
                <w:rStyle w:val="A4"/>
              </w:rPr>
              <w:t>-</w:t>
            </w:r>
            <w:r w:rsidR="00A33B69">
              <w:rPr>
                <w:rStyle w:val="A4"/>
              </w:rPr>
              <w:t>to</w:t>
            </w:r>
            <w:r w:rsidR="00127FF9">
              <w:rPr>
                <w:rStyle w:val="A4"/>
              </w:rPr>
              <w:t>-</w:t>
            </w:r>
            <w:r w:rsidR="00A33B69">
              <w:rPr>
                <w:rStyle w:val="A4"/>
              </w:rPr>
              <w:t>face interaction (32%) and cost (17%). Barriers for computer use included data leaks (38%), reducing face</w:t>
            </w:r>
            <w:r w:rsidR="00127FF9">
              <w:rPr>
                <w:rStyle w:val="A4"/>
              </w:rPr>
              <w:t>-</w:t>
            </w:r>
            <w:r w:rsidR="00A33B69">
              <w:rPr>
                <w:rStyle w:val="A4"/>
              </w:rPr>
              <w:t>to</w:t>
            </w:r>
            <w:r w:rsidR="00127FF9">
              <w:rPr>
                <w:rStyle w:val="A4"/>
              </w:rPr>
              <w:t>-</w:t>
            </w:r>
            <w:r w:rsidR="00A33B69">
              <w:rPr>
                <w:rStyle w:val="A4"/>
              </w:rPr>
              <w:t>face interaction (25%) and difficulty in use (17%).</w:t>
            </w:r>
          </w:p>
          <w:p w14:paraId="652F7BE1" w14:textId="052B140F" w:rsidR="001564A4" w:rsidRPr="00E10555" w:rsidRDefault="001564A4" w:rsidP="000A28E2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E10555" w:rsidRPr="00E10555">
              <w:rPr>
                <w:rStyle w:val="A4"/>
              </w:rPr>
              <w:t xml:space="preserve">Despite the increased </w:t>
            </w:r>
            <w:r w:rsidR="00E10555">
              <w:rPr>
                <w:rStyle w:val="A4"/>
              </w:rPr>
              <w:t>use</w:t>
            </w:r>
            <w:r w:rsidR="00E10555" w:rsidRPr="00E10555">
              <w:rPr>
                <w:rStyle w:val="A4"/>
              </w:rPr>
              <w:t xml:space="preserve"> of</w:t>
            </w:r>
            <w:r w:rsidR="00E10555">
              <w:rPr>
                <w:rStyle w:val="A4"/>
                <w:b/>
                <w:bCs/>
              </w:rPr>
              <w:t xml:space="preserve"> </w:t>
            </w:r>
            <w:r w:rsidR="00E10555" w:rsidRPr="00E10555">
              <w:rPr>
                <w:rStyle w:val="A4"/>
              </w:rPr>
              <w:t>mHealth during the pandemic, not all patients have access</w:t>
            </w:r>
            <w:r w:rsidR="00E10555">
              <w:rPr>
                <w:rStyle w:val="A4"/>
              </w:rPr>
              <w:t xml:space="preserve"> to it. There also remains significant barriers to its uptake. Before</w:t>
            </w:r>
            <w:r w:rsidR="006F669A">
              <w:rPr>
                <w:rStyle w:val="A4"/>
              </w:rPr>
              <w:t xml:space="preserve"> mHealth is embraced universally, </w:t>
            </w:r>
            <w:r w:rsidR="00DA43A9">
              <w:rPr>
                <w:rStyle w:val="A4"/>
              </w:rPr>
              <w:t xml:space="preserve">we must </w:t>
            </w:r>
            <w:r w:rsidR="00127FF9">
              <w:rPr>
                <w:rStyle w:val="A4"/>
              </w:rPr>
              <w:t xml:space="preserve">ensure </w:t>
            </w:r>
            <w:r w:rsidR="00DA43A9">
              <w:rPr>
                <w:rStyle w:val="A4"/>
              </w:rPr>
              <w:t xml:space="preserve">mHealth is acceptable and available to </w:t>
            </w:r>
            <w:r w:rsidR="006F669A">
              <w:rPr>
                <w:rStyle w:val="A4"/>
              </w:rPr>
              <w:t xml:space="preserve">all </w:t>
            </w:r>
            <w:r w:rsidR="00DA43A9">
              <w:rPr>
                <w:rStyle w:val="A4"/>
              </w:rPr>
              <w:t>patient populations</w:t>
            </w:r>
            <w:r w:rsidR="006F669A">
              <w:rPr>
                <w:rStyle w:val="A4"/>
              </w:rPr>
              <w:t xml:space="preserve"> to prevent inequities</w:t>
            </w:r>
            <w:r w:rsidR="00DA43A9">
              <w:rPr>
                <w:rStyle w:val="A4"/>
              </w:rPr>
              <w:t>.</w:t>
            </w:r>
          </w:p>
          <w:p w14:paraId="196E7BAC" w14:textId="5F86A613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7F8381F0" w14:textId="60AD2DA2" w:rsidR="001564A4" w:rsidRPr="006F669A" w:rsidRDefault="001564A4" w:rsidP="000A28E2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>Grant Support:</w:t>
            </w:r>
            <w:r w:rsidR="0046136A">
              <w:rPr>
                <w:rStyle w:val="A4"/>
                <w:b/>
                <w:bCs/>
              </w:rPr>
              <w:t xml:space="preserve"> </w:t>
            </w:r>
            <w:r w:rsidR="0046136A" w:rsidRPr="0046136A">
              <w:rPr>
                <w:rStyle w:val="A4"/>
              </w:rPr>
              <w:t>Nil</w:t>
            </w:r>
            <w:r w:rsidRPr="0050053A">
              <w:rPr>
                <w:rStyle w:val="A4"/>
                <w:b/>
                <w:bCs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C15C8"/>
    <w:multiLevelType w:val="multilevel"/>
    <w:tmpl w:val="96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462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813A8"/>
    <w:rsid w:val="000A2689"/>
    <w:rsid w:val="000B68D3"/>
    <w:rsid w:val="00103825"/>
    <w:rsid w:val="00127FF9"/>
    <w:rsid w:val="00140F7F"/>
    <w:rsid w:val="001564A4"/>
    <w:rsid w:val="002403C7"/>
    <w:rsid w:val="00254AEA"/>
    <w:rsid w:val="00335969"/>
    <w:rsid w:val="0046136A"/>
    <w:rsid w:val="004D7CCB"/>
    <w:rsid w:val="0051574E"/>
    <w:rsid w:val="00544B1E"/>
    <w:rsid w:val="00594AAB"/>
    <w:rsid w:val="006F669A"/>
    <w:rsid w:val="008803FA"/>
    <w:rsid w:val="00A33B69"/>
    <w:rsid w:val="00B12E32"/>
    <w:rsid w:val="00CB3A2A"/>
    <w:rsid w:val="00DA43A9"/>
    <w:rsid w:val="00DC795C"/>
    <w:rsid w:val="00DE1686"/>
    <w:rsid w:val="00DE36E9"/>
    <w:rsid w:val="00E0700F"/>
    <w:rsid w:val="00E10555"/>
    <w:rsid w:val="00E23A24"/>
    <w:rsid w:val="00FD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NormalWeb">
    <w:name w:val="Normal (Web)"/>
    <w:basedOn w:val="Normal"/>
    <w:uiPriority w:val="99"/>
    <w:unhideWhenUsed/>
    <w:rsid w:val="004D7CCB"/>
    <w:pPr>
      <w:spacing w:before="100" w:beforeAutospacing="1" w:after="100" w:afterAutospacing="1"/>
    </w:pPr>
    <w:rPr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cab52c9b-ab33-4221-8af9-54f8f2b86a80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Leah McLeod</cp:lastModifiedBy>
  <cp:revision>2</cp:revision>
  <dcterms:created xsi:type="dcterms:W3CDTF">2023-10-16T23:17:00Z</dcterms:created>
  <dcterms:modified xsi:type="dcterms:W3CDTF">2023-10-16T23:17:00Z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