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F23C1D" w14:paraId="3CA33060" w14:textId="77777777" w:rsidTr="009F4EA0">
        <w:tc>
          <w:tcPr>
            <w:tcW w:w="8640" w:type="dxa"/>
            <w:shd w:val="clear" w:color="auto" w:fill="F2F2F2" w:themeFill="background1" w:themeFillShade="F2"/>
          </w:tcPr>
          <w:p w14:paraId="2003E176" w14:textId="2A8764A3" w:rsidR="00C8423A" w:rsidRPr="004F0005" w:rsidRDefault="00030EBC" w:rsidP="00706DED">
            <w:pPr>
              <w:jc w:val="both"/>
              <w:rPr>
                <w:rFonts w:ascii="Arial" w:hAnsi="Arial" w:cs="Arial"/>
                <w:bCs/>
                <w:i/>
                <w:iCs/>
                <w:sz w:val="22"/>
                <w:szCs w:val="22"/>
                <w:u w:val="single"/>
              </w:rPr>
            </w:pPr>
            <w:r w:rsidRPr="004F0005">
              <w:rPr>
                <w:rFonts w:ascii="Arial" w:hAnsi="Arial" w:cs="Arial"/>
                <w:bCs/>
                <w:i/>
                <w:iCs/>
                <w:sz w:val="22"/>
                <w:szCs w:val="22"/>
              </w:rPr>
              <w:t>Paper</w:t>
            </w:r>
          </w:p>
          <w:p w14:paraId="3BDDFFE7" w14:textId="77777777" w:rsidR="00C8423A" w:rsidRDefault="00EC4853" w:rsidP="00A2214E">
            <w:pPr>
              <w:jc w:val="both"/>
              <w:rPr>
                <w:rFonts w:ascii="Arial" w:hAnsi="Arial" w:cs="Arial"/>
                <w:b/>
                <w:bCs/>
                <w:sz w:val="22"/>
                <w:szCs w:val="22"/>
              </w:rPr>
            </w:pPr>
            <w:r w:rsidRPr="00EC4853">
              <w:rPr>
                <w:rFonts w:ascii="Arial" w:hAnsi="Arial" w:cs="Arial"/>
                <w:b/>
                <w:bCs/>
                <w:sz w:val="22"/>
                <w:szCs w:val="22"/>
              </w:rPr>
              <w:t>Scenarios for Resilience: Co-construction of Futures for the Maipo River through the MAPA Project</w:t>
            </w:r>
          </w:p>
          <w:p w14:paraId="3F7D1534" w14:textId="0F62CCD1" w:rsidR="008A43C7" w:rsidRPr="00DD77DA" w:rsidRDefault="008A43C7" w:rsidP="00DD77DA">
            <w:pPr>
              <w:jc w:val="both"/>
              <w:rPr>
                <w:rFonts w:ascii="Arial" w:hAnsi="Arial" w:cs="Arial"/>
                <w:b/>
                <w:bCs/>
                <w:sz w:val="22"/>
                <w:szCs w:val="22"/>
                <w:lang w:val="en-US"/>
              </w:rPr>
            </w:pPr>
          </w:p>
        </w:tc>
      </w:tr>
      <w:tr w:rsidR="00C8423A" w:rsidRPr="0003525D" w14:paraId="1A1C8C63" w14:textId="77777777" w:rsidTr="009F4EA0">
        <w:trPr>
          <w:trHeight w:val="3124"/>
        </w:trPr>
        <w:tc>
          <w:tcPr>
            <w:tcW w:w="8640" w:type="dxa"/>
          </w:tcPr>
          <w:p w14:paraId="65A278DB" w14:textId="77777777" w:rsidR="00C8423A" w:rsidRPr="00DD77DA" w:rsidRDefault="00C8423A" w:rsidP="00706DED">
            <w:pPr>
              <w:jc w:val="both"/>
              <w:rPr>
                <w:rFonts w:ascii="Arial" w:hAnsi="Arial" w:cs="Arial"/>
                <w:b/>
                <w:sz w:val="22"/>
                <w:szCs w:val="22"/>
                <w:lang w:val="en-US"/>
              </w:rPr>
            </w:pPr>
          </w:p>
          <w:p w14:paraId="79543C91" w14:textId="77777777" w:rsidR="004E34C6" w:rsidRDefault="004E34C6" w:rsidP="004E34C6">
            <w:pPr>
              <w:jc w:val="both"/>
              <w:rPr>
                <w:rFonts w:ascii="Arial" w:hAnsi="Arial" w:cs="Arial"/>
                <w:b/>
                <w:sz w:val="22"/>
                <w:szCs w:val="22"/>
              </w:rPr>
            </w:pPr>
            <w:r w:rsidRPr="004E34C6">
              <w:rPr>
                <w:rFonts w:ascii="Arial" w:hAnsi="Arial" w:cs="Arial"/>
                <w:b/>
                <w:sz w:val="22"/>
                <w:szCs w:val="22"/>
              </w:rPr>
              <w:t>Introduction</w:t>
            </w:r>
          </w:p>
          <w:p w14:paraId="1A5D2C56" w14:textId="77777777" w:rsidR="004E34C6" w:rsidRPr="004E34C6" w:rsidRDefault="004E34C6" w:rsidP="004E34C6">
            <w:pPr>
              <w:jc w:val="both"/>
              <w:rPr>
                <w:rFonts w:ascii="Arial" w:hAnsi="Arial" w:cs="Arial"/>
                <w:b/>
                <w:sz w:val="22"/>
                <w:szCs w:val="22"/>
              </w:rPr>
            </w:pPr>
          </w:p>
          <w:p w14:paraId="2FA487B4" w14:textId="77777777" w:rsidR="004E34C6" w:rsidRPr="004E34C6" w:rsidRDefault="004E34C6" w:rsidP="004E34C6">
            <w:pPr>
              <w:jc w:val="both"/>
              <w:rPr>
                <w:rFonts w:ascii="Arial" w:hAnsi="Arial" w:cs="Arial"/>
                <w:bCs/>
                <w:sz w:val="22"/>
                <w:szCs w:val="22"/>
              </w:rPr>
            </w:pPr>
            <w:r w:rsidRPr="004E34C6">
              <w:rPr>
                <w:rFonts w:ascii="Arial" w:hAnsi="Arial" w:cs="Arial"/>
                <w:bCs/>
                <w:sz w:val="22"/>
                <w:szCs w:val="22"/>
              </w:rPr>
              <w:t>Socio-environmental risks, particularly climate change, pose complex governance challenges requiring innovative decision-making tools to address uncertainty. Participatory scenario-building has gained prominence in climate adaptation policy by enabling diverse actors to explore sustainability dynamics collaboratively (Andersen et al., 2021; Star et al., 2016). While often assumed to have transformative effects, empirical research on their long-term impacts remains limited. This study examines participatory scenario construction as a governance intervention, focusing on its role in coordinating expectations (Konrad, 2010) and fostering system resilience (Urquiza et al., 2021).</w:t>
            </w:r>
          </w:p>
          <w:p w14:paraId="461FB2C8" w14:textId="77777777" w:rsidR="004E34C6" w:rsidRPr="004E34C6" w:rsidRDefault="004E34C6" w:rsidP="004E34C6">
            <w:pPr>
              <w:jc w:val="both"/>
              <w:rPr>
                <w:rFonts w:ascii="Arial" w:hAnsi="Arial" w:cs="Arial"/>
                <w:b/>
                <w:sz w:val="22"/>
                <w:szCs w:val="22"/>
              </w:rPr>
            </w:pPr>
          </w:p>
          <w:p w14:paraId="55F6D623" w14:textId="77777777" w:rsidR="004E34C6" w:rsidRDefault="004E34C6" w:rsidP="004E34C6">
            <w:pPr>
              <w:jc w:val="both"/>
              <w:rPr>
                <w:rFonts w:ascii="Arial" w:hAnsi="Arial" w:cs="Arial"/>
                <w:b/>
                <w:sz w:val="22"/>
                <w:szCs w:val="22"/>
              </w:rPr>
            </w:pPr>
            <w:r w:rsidRPr="004E34C6">
              <w:rPr>
                <w:rFonts w:ascii="Arial" w:hAnsi="Arial" w:cs="Arial"/>
                <w:b/>
                <w:sz w:val="22"/>
                <w:szCs w:val="22"/>
              </w:rPr>
              <w:t>Objectives</w:t>
            </w:r>
          </w:p>
          <w:p w14:paraId="0F5B9A07" w14:textId="77777777" w:rsidR="004E34C6" w:rsidRPr="004E34C6" w:rsidRDefault="004E34C6" w:rsidP="004E34C6">
            <w:pPr>
              <w:jc w:val="both"/>
              <w:rPr>
                <w:rFonts w:ascii="Arial" w:hAnsi="Arial" w:cs="Arial"/>
                <w:b/>
                <w:sz w:val="22"/>
                <w:szCs w:val="22"/>
              </w:rPr>
            </w:pPr>
          </w:p>
          <w:p w14:paraId="7981DD12" w14:textId="77777777" w:rsidR="004E34C6" w:rsidRDefault="004E34C6" w:rsidP="004E34C6">
            <w:pPr>
              <w:jc w:val="both"/>
              <w:rPr>
                <w:rFonts w:ascii="Arial" w:hAnsi="Arial" w:cs="Arial"/>
                <w:b/>
                <w:sz w:val="22"/>
                <w:szCs w:val="22"/>
              </w:rPr>
            </w:pPr>
            <w:r w:rsidRPr="004E34C6">
              <w:rPr>
                <w:rFonts w:ascii="Arial" w:hAnsi="Arial" w:cs="Arial"/>
                <w:bCs/>
                <w:sz w:val="22"/>
                <w:szCs w:val="22"/>
              </w:rPr>
              <w:t xml:space="preserve">This research evaluates participatory scenario-building as a governance tool by </w:t>
            </w:r>
            <w:proofErr w:type="spellStart"/>
            <w:r w:rsidRPr="004E34C6">
              <w:rPr>
                <w:rFonts w:ascii="Arial" w:hAnsi="Arial" w:cs="Arial"/>
                <w:bCs/>
                <w:sz w:val="22"/>
                <w:szCs w:val="22"/>
              </w:rPr>
              <w:t>analyzing</w:t>
            </w:r>
            <w:proofErr w:type="spellEnd"/>
            <w:r w:rsidRPr="004E34C6">
              <w:rPr>
                <w:rFonts w:ascii="Arial" w:hAnsi="Arial" w:cs="Arial"/>
                <w:bCs/>
                <w:sz w:val="22"/>
                <w:szCs w:val="22"/>
              </w:rPr>
              <w:t xml:space="preserve"> its effects on resilience. Specifically, it assesses process quality, examines whether organizations integrate co-constructed future visions into planning, and identifies transformative impacts on the resilience of the Maipo River basin system. These insights will help determine how participatory foresight exercises can transition from consultative processes to instruments of structural change in climate governance</w:t>
            </w:r>
            <w:r w:rsidRPr="004E34C6">
              <w:rPr>
                <w:rFonts w:ascii="Arial" w:hAnsi="Arial" w:cs="Arial"/>
                <w:b/>
                <w:sz w:val="22"/>
                <w:szCs w:val="22"/>
              </w:rPr>
              <w:t>.</w:t>
            </w:r>
          </w:p>
          <w:p w14:paraId="1251F727" w14:textId="77777777" w:rsidR="004E34C6" w:rsidRPr="004E34C6" w:rsidRDefault="004E34C6" w:rsidP="004E34C6">
            <w:pPr>
              <w:jc w:val="both"/>
              <w:rPr>
                <w:rFonts w:ascii="Arial" w:hAnsi="Arial" w:cs="Arial"/>
                <w:b/>
                <w:sz w:val="22"/>
                <w:szCs w:val="22"/>
              </w:rPr>
            </w:pPr>
          </w:p>
          <w:p w14:paraId="060AEC03" w14:textId="77777777" w:rsidR="004E34C6" w:rsidRDefault="004E34C6" w:rsidP="004E34C6">
            <w:pPr>
              <w:jc w:val="both"/>
              <w:rPr>
                <w:rFonts w:ascii="Arial" w:hAnsi="Arial" w:cs="Arial"/>
                <w:b/>
                <w:sz w:val="22"/>
                <w:szCs w:val="22"/>
              </w:rPr>
            </w:pPr>
            <w:r w:rsidRPr="004E34C6">
              <w:rPr>
                <w:rFonts w:ascii="Arial" w:hAnsi="Arial" w:cs="Arial"/>
                <w:b/>
                <w:sz w:val="22"/>
                <w:szCs w:val="22"/>
              </w:rPr>
              <w:t>Methodology</w:t>
            </w:r>
          </w:p>
          <w:p w14:paraId="5F17A6AC" w14:textId="77777777" w:rsidR="004E34C6" w:rsidRPr="004E34C6" w:rsidRDefault="004E34C6" w:rsidP="004E34C6">
            <w:pPr>
              <w:jc w:val="both"/>
              <w:rPr>
                <w:rFonts w:ascii="Arial" w:hAnsi="Arial" w:cs="Arial"/>
                <w:b/>
                <w:sz w:val="22"/>
                <w:szCs w:val="22"/>
              </w:rPr>
            </w:pPr>
          </w:p>
          <w:p w14:paraId="6C0CD4ED" w14:textId="77777777" w:rsidR="004E34C6" w:rsidRPr="004E34C6" w:rsidRDefault="004E34C6" w:rsidP="004E34C6">
            <w:pPr>
              <w:jc w:val="both"/>
              <w:rPr>
                <w:rFonts w:ascii="Arial" w:hAnsi="Arial" w:cs="Arial"/>
                <w:bCs/>
                <w:sz w:val="22"/>
                <w:szCs w:val="22"/>
              </w:rPr>
            </w:pPr>
            <w:r w:rsidRPr="004E34C6">
              <w:rPr>
                <w:rFonts w:ascii="Arial" w:hAnsi="Arial" w:cs="Arial"/>
                <w:bCs/>
                <w:sz w:val="22"/>
                <w:szCs w:val="22"/>
              </w:rPr>
              <w:t>Applying a systemic meta-governance approach (La Cour &amp; Andersen, 2016), this study conducts a qualitative case study of the MAPA (Maipo Adaptation Plan) Project (2013–2016), which engaged diverse stakeholders in climate adaptation scenario development for water governance in central Chile. The study combines document analysis of project reports and communication materials with semi-structured interviews involving ten participants, including implementers and stakeholders from public, private, and civil society organizations. Content analysis, using deductive and abductive approaches, identifies key governance and resilience themes, providing a nuanced understanding of the project’s contributions and limitations.</w:t>
            </w:r>
          </w:p>
          <w:p w14:paraId="31D4C037" w14:textId="77777777" w:rsidR="004E34C6" w:rsidRPr="004E34C6" w:rsidRDefault="004E34C6" w:rsidP="004E34C6">
            <w:pPr>
              <w:jc w:val="both"/>
              <w:rPr>
                <w:rFonts w:ascii="Arial" w:hAnsi="Arial" w:cs="Arial"/>
                <w:b/>
                <w:sz w:val="22"/>
                <w:szCs w:val="22"/>
              </w:rPr>
            </w:pPr>
          </w:p>
          <w:p w14:paraId="43517DE3" w14:textId="77777777" w:rsidR="004E34C6" w:rsidRDefault="004E34C6" w:rsidP="004E34C6">
            <w:pPr>
              <w:jc w:val="both"/>
              <w:rPr>
                <w:rFonts w:ascii="Arial" w:hAnsi="Arial" w:cs="Arial"/>
                <w:b/>
                <w:sz w:val="22"/>
                <w:szCs w:val="22"/>
              </w:rPr>
            </w:pPr>
            <w:r w:rsidRPr="004E34C6">
              <w:rPr>
                <w:rFonts w:ascii="Arial" w:hAnsi="Arial" w:cs="Arial"/>
                <w:b/>
                <w:sz w:val="22"/>
                <w:szCs w:val="22"/>
              </w:rPr>
              <w:t>Findings</w:t>
            </w:r>
          </w:p>
          <w:p w14:paraId="03DF726A" w14:textId="77777777" w:rsidR="004E34C6" w:rsidRPr="004E34C6" w:rsidRDefault="004E34C6" w:rsidP="004E34C6">
            <w:pPr>
              <w:jc w:val="both"/>
              <w:rPr>
                <w:rFonts w:ascii="Arial" w:hAnsi="Arial" w:cs="Arial"/>
                <w:b/>
                <w:sz w:val="22"/>
                <w:szCs w:val="22"/>
              </w:rPr>
            </w:pPr>
          </w:p>
          <w:p w14:paraId="0058CC27" w14:textId="366C3637" w:rsidR="004E34C6" w:rsidRDefault="00C16239" w:rsidP="004E34C6">
            <w:pPr>
              <w:jc w:val="both"/>
              <w:rPr>
                <w:rFonts w:ascii="Arial" w:hAnsi="Arial" w:cs="Arial"/>
                <w:bCs/>
                <w:sz w:val="22"/>
                <w:szCs w:val="22"/>
              </w:rPr>
            </w:pPr>
            <w:r w:rsidRPr="00C16239">
              <w:rPr>
                <w:rFonts w:ascii="Arial" w:hAnsi="Arial" w:cs="Arial"/>
                <w:bCs/>
                <w:sz w:val="22"/>
                <w:szCs w:val="22"/>
              </w:rPr>
              <w:t xml:space="preserve">The study reveals that the </w:t>
            </w:r>
            <w:r>
              <w:rPr>
                <w:rFonts w:ascii="Arial" w:hAnsi="Arial" w:cs="Arial"/>
                <w:bCs/>
                <w:sz w:val="22"/>
                <w:szCs w:val="22"/>
              </w:rPr>
              <w:t>p</w:t>
            </w:r>
            <w:r w:rsidRPr="00C16239">
              <w:rPr>
                <w:rFonts w:ascii="Arial" w:hAnsi="Arial" w:cs="Arial"/>
                <w:bCs/>
                <w:sz w:val="22"/>
                <w:szCs w:val="22"/>
              </w:rPr>
              <w:t xml:space="preserve">roject successfully engaged a diverse range of actors, enhancing legitimacy and fostering dialogue on water governance. However, participation was uneven, with local and civil society actors underrepresented, limiting grassroots influence on the process. While the workshops were immersive and encouraged discussion, they were often structured more as consultative spaces rather than as platforms for true co-construction. In terms of the adoption of the future vision, organizations with prior experience in foresight and scenario planning aligned more easily with the project’s future scenarios, whereas others found the outputs informative but not immediately actionable. Weak mechanisms for knowledge transfer further </w:t>
            </w:r>
            <w:r w:rsidRPr="00C16239">
              <w:rPr>
                <w:rFonts w:ascii="Arial" w:hAnsi="Arial" w:cs="Arial"/>
                <w:bCs/>
                <w:sz w:val="22"/>
                <w:szCs w:val="22"/>
              </w:rPr>
              <w:lastRenderedPageBreak/>
              <w:t>hindered the long-term adoption of results within institutions. Regarding resilience impacts, the project contributed to shaping national debates on water security and adaptation governance. However, despite its discursive influence, few concrete adaptation measures were implemented as a direct result of the project. Institutional collaboration remained weak, limiting the project’s long-term influence on governance structures. While personal networks among participants strengthened, this did not translate into sustained organizational or policy-level coordination.</w:t>
            </w:r>
          </w:p>
          <w:p w14:paraId="3D6A26CD" w14:textId="77777777" w:rsidR="00C16239" w:rsidRPr="004E34C6" w:rsidRDefault="00C16239" w:rsidP="004E34C6">
            <w:pPr>
              <w:jc w:val="both"/>
              <w:rPr>
                <w:rFonts w:ascii="Arial" w:hAnsi="Arial" w:cs="Arial"/>
                <w:b/>
                <w:sz w:val="22"/>
                <w:szCs w:val="22"/>
              </w:rPr>
            </w:pPr>
          </w:p>
          <w:p w14:paraId="3286A046" w14:textId="77777777" w:rsidR="004E34C6" w:rsidRDefault="004E34C6" w:rsidP="004E34C6">
            <w:pPr>
              <w:jc w:val="both"/>
              <w:rPr>
                <w:rFonts w:ascii="Arial" w:hAnsi="Arial" w:cs="Arial"/>
                <w:b/>
                <w:sz w:val="22"/>
                <w:szCs w:val="22"/>
              </w:rPr>
            </w:pPr>
            <w:r w:rsidRPr="004E34C6">
              <w:rPr>
                <w:rFonts w:ascii="Arial" w:hAnsi="Arial" w:cs="Arial"/>
                <w:b/>
                <w:sz w:val="22"/>
                <w:szCs w:val="22"/>
              </w:rPr>
              <w:t>Significance for Policy and Practice</w:t>
            </w:r>
          </w:p>
          <w:p w14:paraId="3A792F60" w14:textId="77777777" w:rsidR="004E34C6" w:rsidRPr="004E34C6" w:rsidRDefault="004E34C6" w:rsidP="004E34C6">
            <w:pPr>
              <w:jc w:val="both"/>
              <w:rPr>
                <w:rFonts w:ascii="Arial" w:hAnsi="Arial" w:cs="Arial"/>
                <w:b/>
                <w:sz w:val="22"/>
                <w:szCs w:val="22"/>
              </w:rPr>
            </w:pPr>
          </w:p>
          <w:p w14:paraId="44A82449" w14:textId="71BF5C4B" w:rsidR="00A2214E" w:rsidRPr="004E34C6" w:rsidRDefault="004E34C6" w:rsidP="004E34C6">
            <w:pPr>
              <w:jc w:val="both"/>
              <w:rPr>
                <w:rFonts w:ascii="Arial" w:hAnsi="Arial" w:cs="Arial"/>
                <w:bCs/>
                <w:sz w:val="22"/>
                <w:szCs w:val="22"/>
              </w:rPr>
            </w:pPr>
            <w:r w:rsidRPr="004E34C6">
              <w:rPr>
                <w:rFonts w:ascii="Arial" w:hAnsi="Arial" w:cs="Arial"/>
                <w:bCs/>
                <w:sz w:val="22"/>
                <w:szCs w:val="22"/>
              </w:rPr>
              <w:t>The study highlights the need for participatory scenario-building processes to be institutionally embedded for continuity and integration into policymaking. Future projects should enhance stakeholder diversity and establish clearer pathways for transforming knowledge into action. Governance frameworks must link discursive shifts to institutional and policy changes. By examining participatory scenarios as governance interventions, this research calls for improved methodological frameworks to track their long-term impacts on climate resilience.</w:t>
            </w: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3ECC14A8" w14:textId="0DF28E3D" w:rsidR="00BF32A4" w:rsidRPr="00BF32A4" w:rsidRDefault="00BF32A4" w:rsidP="00247C60">
      <w:pPr>
        <w:rPr>
          <w:rFonts w:ascii="Arial" w:hAnsi="Arial" w:cs="Arial"/>
          <w:b/>
          <w:bCs/>
          <w:sz w:val="22"/>
          <w:szCs w:val="22"/>
        </w:rPr>
      </w:pPr>
      <w:r w:rsidRPr="00BF32A4">
        <w:rPr>
          <w:rFonts w:ascii="Arial" w:hAnsi="Arial" w:cs="Arial"/>
          <w:b/>
          <w:bCs/>
          <w:sz w:val="22"/>
          <w:szCs w:val="22"/>
        </w:rPr>
        <w:t>References</w:t>
      </w:r>
    </w:p>
    <w:p w14:paraId="62896549" w14:textId="77777777" w:rsidR="007F0214" w:rsidRPr="007F0214" w:rsidRDefault="007F0214" w:rsidP="00BF32A4">
      <w:pPr>
        <w:jc w:val="both"/>
        <w:rPr>
          <w:rFonts w:ascii="Arial" w:hAnsi="Arial" w:cs="Arial"/>
          <w:sz w:val="22"/>
          <w:szCs w:val="22"/>
        </w:rPr>
      </w:pPr>
    </w:p>
    <w:p w14:paraId="1AB7DF2A" w14:textId="77777777" w:rsidR="007F0214" w:rsidRDefault="007F0214" w:rsidP="00BF32A4">
      <w:pPr>
        <w:jc w:val="both"/>
        <w:rPr>
          <w:rFonts w:ascii="Arial" w:hAnsi="Arial" w:cs="Arial"/>
          <w:sz w:val="22"/>
          <w:szCs w:val="22"/>
        </w:rPr>
      </w:pPr>
      <w:r w:rsidRPr="007F0214">
        <w:rPr>
          <w:rFonts w:ascii="Arial" w:hAnsi="Arial" w:cs="Arial"/>
          <w:sz w:val="22"/>
          <w:szCs w:val="22"/>
        </w:rPr>
        <w:t xml:space="preserve">Andersen, P. D., Hansen, M., &amp; Selin, C. (2021). Stakeholder inclusion in scenario planning—A review of European projects. Technological Forecasting and Social Change, 169(September 2020), 120802. </w:t>
      </w:r>
      <w:hyperlink r:id="rId8" w:history="1">
        <w:r w:rsidRPr="007F0214">
          <w:rPr>
            <w:rStyle w:val="Hyperlink"/>
            <w:rFonts w:ascii="Arial" w:hAnsi="Arial" w:cs="Arial"/>
            <w:sz w:val="22"/>
            <w:szCs w:val="22"/>
          </w:rPr>
          <w:t>https://doi.org/10.1016/j.techfore.2021.120802</w:t>
        </w:r>
      </w:hyperlink>
    </w:p>
    <w:p w14:paraId="46659F5A" w14:textId="77777777" w:rsidR="007F0214" w:rsidRPr="007F0214" w:rsidRDefault="007F0214" w:rsidP="00BF32A4">
      <w:pPr>
        <w:jc w:val="both"/>
        <w:rPr>
          <w:rFonts w:ascii="Arial" w:hAnsi="Arial" w:cs="Arial"/>
          <w:sz w:val="22"/>
          <w:szCs w:val="22"/>
        </w:rPr>
      </w:pPr>
    </w:p>
    <w:p w14:paraId="1AF91584" w14:textId="77777777" w:rsidR="007F0214" w:rsidRDefault="007F0214" w:rsidP="00BF32A4">
      <w:pPr>
        <w:jc w:val="both"/>
        <w:rPr>
          <w:rFonts w:ascii="Arial" w:hAnsi="Arial" w:cs="Arial"/>
          <w:sz w:val="22"/>
          <w:szCs w:val="22"/>
        </w:rPr>
      </w:pPr>
      <w:r w:rsidRPr="007F0214">
        <w:rPr>
          <w:rFonts w:ascii="Arial" w:hAnsi="Arial" w:cs="Arial"/>
          <w:sz w:val="22"/>
          <w:szCs w:val="22"/>
        </w:rPr>
        <w:t>Konrad, K. (2010). Governance of and by expectations. Tentative Governance in Emerging Science and Technology. Actor Constellations, Institutional Arrangements and Strategies. Enschede: University of Twente, 67-77.</w:t>
      </w:r>
    </w:p>
    <w:p w14:paraId="4A10A987" w14:textId="77777777" w:rsidR="007F0214" w:rsidRPr="007F0214" w:rsidRDefault="007F0214" w:rsidP="00BF32A4">
      <w:pPr>
        <w:jc w:val="both"/>
        <w:rPr>
          <w:rFonts w:ascii="Arial" w:hAnsi="Arial" w:cs="Arial"/>
          <w:sz w:val="22"/>
          <w:szCs w:val="22"/>
        </w:rPr>
      </w:pPr>
    </w:p>
    <w:p w14:paraId="60BB38D3" w14:textId="77777777" w:rsidR="007F0214" w:rsidRDefault="007F0214" w:rsidP="00BF32A4">
      <w:pPr>
        <w:jc w:val="both"/>
        <w:rPr>
          <w:rFonts w:ascii="Arial" w:hAnsi="Arial" w:cs="Arial"/>
          <w:sz w:val="22"/>
          <w:szCs w:val="22"/>
        </w:rPr>
      </w:pPr>
      <w:r w:rsidRPr="007F0214">
        <w:rPr>
          <w:rFonts w:ascii="Arial" w:hAnsi="Arial" w:cs="Arial"/>
          <w:sz w:val="22"/>
          <w:szCs w:val="22"/>
        </w:rPr>
        <w:t xml:space="preserve">La Cour, A., &amp; Andersen, N. A. (2016). </w:t>
      </w:r>
      <w:proofErr w:type="spellStart"/>
      <w:r w:rsidRPr="007F0214">
        <w:rPr>
          <w:rFonts w:ascii="Arial" w:hAnsi="Arial" w:cs="Arial"/>
          <w:sz w:val="22"/>
          <w:szCs w:val="22"/>
        </w:rPr>
        <w:t>Metagovernance</w:t>
      </w:r>
      <w:proofErr w:type="spellEnd"/>
      <w:r w:rsidRPr="007F0214">
        <w:rPr>
          <w:rFonts w:ascii="Arial" w:hAnsi="Arial" w:cs="Arial"/>
          <w:sz w:val="22"/>
          <w:szCs w:val="22"/>
        </w:rPr>
        <w:t xml:space="preserve"> as Strategic Supervision. Public Performance &amp; Management Review, 39(4), 905–925. doi:10.1080/15309576.2016.1180305</w:t>
      </w:r>
    </w:p>
    <w:p w14:paraId="31B8E306" w14:textId="77777777" w:rsidR="007F0214" w:rsidRPr="007F0214" w:rsidRDefault="007F0214" w:rsidP="00BF32A4">
      <w:pPr>
        <w:jc w:val="both"/>
        <w:rPr>
          <w:rFonts w:ascii="Arial" w:hAnsi="Arial" w:cs="Arial"/>
          <w:sz w:val="22"/>
          <w:szCs w:val="22"/>
        </w:rPr>
      </w:pPr>
    </w:p>
    <w:p w14:paraId="097FE89F" w14:textId="77777777" w:rsidR="007F0214" w:rsidRDefault="007F0214" w:rsidP="00BF32A4">
      <w:pPr>
        <w:jc w:val="both"/>
        <w:rPr>
          <w:rFonts w:ascii="Arial" w:hAnsi="Arial" w:cs="Arial"/>
          <w:sz w:val="22"/>
          <w:szCs w:val="22"/>
        </w:rPr>
      </w:pPr>
      <w:r w:rsidRPr="007F0214">
        <w:rPr>
          <w:rFonts w:ascii="Arial" w:hAnsi="Arial" w:cs="Arial"/>
          <w:sz w:val="22"/>
          <w:szCs w:val="22"/>
        </w:rPr>
        <w:t xml:space="preserve">Star, J., Rowland, E. L., Black, M. E., Enquist, C. A. F., Garfin, G., Hoffman, C. H., Hartmann, H., Jacobs, K. L., Moss, R. H., &amp; Waple, A. M. (2016). Supporting adaptation decisions through scenario planning: Enabling the effective use of multiple methods. Climate Risk Management, 13, 88–94. </w:t>
      </w:r>
      <w:hyperlink r:id="rId9" w:history="1">
        <w:r w:rsidRPr="00DD77DA">
          <w:rPr>
            <w:rStyle w:val="Hyperlink"/>
            <w:rFonts w:ascii="Arial" w:hAnsi="Arial" w:cs="Arial"/>
            <w:sz w:val="22"/>
            <w:szCs w:val="22"/>
          </w:rPr>
          <w:t>https://doi.org/10.1016/j.crm.2016.08.001</w:t>
        </w:r>
      </w:hyperlink>
    </w:p>
    <w:p w14:paraId="697AAAFB" w14:textId="77777777" w:rsidR="007F0214" w:rsidRPr="00DD77DA" w:rsidRDefault="007F0214" w:rsidP="00BF32A4">
      <w:pPr>
        <w:jc w:val="both"/>
        <w:rPr>
          <w:rFonts w:ascii="Arial" w:hAnsi="Arial" w:cs="Arial"/>
          <w:sz w:val="22"/>
          <w:szCs w:val="22"/>
        </w:rPr>
      </w:pPr>
    </w:p>
    <w:p w14:paraId="0B0BD9CE" w14:textId="77777777" w:rsidR="007F0214" w:rsidRPr="007F0214" w:rsidRDefault="007F0214" w:rsidP="00BF32A4">
      <w:pPr>
        <w:jc w:val="both"/>
        <w:rPr>
          <w:rFonts w:ascii="Arial" w:hAnsi="Arial" w:cs="Arial"/>
          <w:color w:val="0000FF"/>
          <w:sz w:val="22"/>
          <w:szCs w:val="22"/>
        </w:rPr>
      </w:pPr>
      <w:r w:rsidRPr="00DD77DA">
        <w:rPr>
          <w:rFonts w:ascii="Arial" w:hAnsi="Arial" w:cs="Arial"/>
          <w:sz w:val="22"/>
          <w:szCs w:val="22"/>
        </w:rPr>
        <w:t xml:space="preserve">Urquiza, A, Amigo, C., Billi, M., Calvo, R., Gallardo, L., Neira, C. I., &amp; Rojas, M. (2021). </w:t>
      </w:r>
      <w:r w:rsidRPr="007F0214">
        <w:rPr>
          <w:rFonts w:ascii="Arial" w:hAnsi="Arial" w:cs="Arial"/>
          <w:sz w:val="22"/>
          <w:szCs w:val="22"/>
        </w:rPr>
        <w:t xml:space="preserve">An Integrated Framework to Streamline Resilience in the Context of Urban Climate Risk Assessment. </w:t>
      </w:r>
      <w:r w:rsidRPr="007F0214">
        <w:rPr>
          <w:rFonts w:ascii="Arial" w:hAnsi="Arial" w:cs="Arial"/>
          <w:i/>
          <w:iCs/>
          <w:sz w:val="22"/>
          <w:szCs w:val="22"/>
        </w:rPr>
        <w:t>Earth’s Future</w:t>
      </w:r>
      <w:r w:rsidRPr="007F0214">
        <w:rPr>
          <w:rFonts w:ascii="Arial" w:hAnsi="Arial" w:cs="Arial"/>
          <w:sz w:val="22"/>
          <w:szCs w:val="22"/>
        </w:rPr>
        <w:t xml:space="preserve">, </w:t>
      </w:r>
      <w:r w:rsidRPr="007F0214">
        <w:rPr>
          <w:rFonts w:ascii="Arial" w:hAnsi="Arial" w:cs="Arial"/>
          <w:i/>
          <w:iCs/>
          <w:sz w:val="22"/>
          <w:szCs w:val="22"/>
        </w:rPr>
        <w:t>9</w:t>
      </w:r>
      <w:r w:rsidRPr="007F0214">
        <w:rPr>
          <w:rFonts w:ascii="Arial" w:hAnsi="Arial" w:cs="Arial"/>
          <w:sz w:val="22"/>
          <w:szCs w:val="22"/>
        </w:rPr>
        <w:t xml:space="preserve">(9), e2020EF001508. </w:t>
      </w:r>
      <w:hyperlink r:id="rId10" w:history="1">
        <w:r w:rsidRPr="007F0214">
          <w:rPr>
            <w:rStyle w:val="Hyperlink"/>
            <w:rFonts w:ascii="Arial" w:hAnsi="Arial" w:cs="Arial"/>
            <w:sz w:val="22"/>
            <w:szCs w:val="22"/>
          </w:rPr>
          <w:t>https://doi.org/https://doi.org/10.1029/2020EF001508</w:t>
        </w:r>
      </w:hyperlink>
    </w:p>
    <w:sectPr w:rsidR="007F0214" w:rsidRPr="007F0214"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04991"/>
    <w:rsid w:val="00030EBC"/>
    <w:rsid w:val="000454E9"/>
    <w:rsid w:val="00105E39"/>
    <w:rsid w:val="00132AE5"/>
    <w:rsid w:val="00155315"/>
    <w:rsid w:val="00203645"/>
    <w:rsid w:val="00216410"/>
    <w:rsid w:val="00247C60"/>
    <w:rsid w:val="00256963"/>
    <w:rsid w:val="002E3AA3"/>
    <w:rsid w:val="00317356"/>
    <w:rsid w:val="0034503D"/>
    <w:rsid w:val="00354C31"/>
    <w:rsid w:val="00375B20"/>
    <w:rsid w:val="00386D01"/>
    <w:rsid w:val="004049E7"/>
    <w:rsid w:val="00462B90"/>
    <w:rsid w:val="004828A0"/>
    <w:rsid w:val="004B69C7"/>
    <w:rsid w:val="004C1F1F"/>
    <w:rsid w:val="004D193B"/>
    <w:rsid w:val="004E34C6"/>
    <w:rsid w:val="004F0005"/>
    <w:rsid w:val="004F4CE8"/>
    <w:rsid w:val="004F5C81"/>
    <w:rsid w:val="0053222C"/>
    <w:rsid w:val="005469BD"/>
    <w:rsid w:val="00550B17"/>
    <w:rsid w:val="005854B8"/>
    <w:rsid w:val="006146EC"/>
    <w:rsid w:val="0065012F"/>
    <w:rsid w:val="0068043B"/>
    <w:rsid w:val="00681CA7"/>
    <w:rsid w:val="007F0214"/>
    <w:rsid w:val="008235E8"/>
    <w:rsid w:val="008773DF"/>
    <w:rsid w:val="008A43C7"/>
    <w:rsid w:val="008B01BA"/>
    <w:rsid w:val="008B50A0"/>
    <w:rsid w:val="008C0C35"/>
    <w:rsid w:val="008C22AD"/>
    <w:rsid w:val="008C2633"/>
    <w:rsid w:val="008E3D8D"/>
    <w:rsid w:val="008F2F93"/>
    <w:rsid w:val="009010B0"/>
    <w:rsid w:val="00906B39"/>
    <w:rsid w:val="00963443"/>
    <w:rsid w:val="009C374A"/>
    <w:rsid w:val="009F4EA0"/>
    <w:rsid w:val="00A11ADE"/>
    <w:rsid w:val="00A2214E"/>
    <w:rsid w:val="00B026E8"/>
    <w:rsid w:val="00BA0872"/>
    <w:rsid w:val="00BA26BB"/>
    <w:rsid w:val="00BC11BB"/>
    <w:rsid w:val="00BC6810"/>
    <w:rsid w:val="00BE0B4D"/>
    <w:rsid w:val="00BE58D6"/>
    <w:rsid w:val="00BF32A4"/>
    <w:rsid w:val="00C16239"/>
    <w:rsid w:val="00C26081"/>
    <w:rsid w:val="00C4126D"/>
    <w:rsid w:val="00C416F4"/>
    <w:rsid w:val="00C76C99"/>
    <w:rsid w:val="00C8423A"/>
    <w:rsid w:val="00C909BA"/>
    <w:rsid w:val="00CC6351"/>
    <w:rsid w:val="00CE53FE"/>
    <w:rsid w:val="00D716AD"/>
    <w:rsid w:val="00DB6BAA"/>
    <w:rsid w:val="00DB73D4"/>
    <w:rsid w:val="00DB7929"/>
    <w:rsid w:val="00DD1BB3"/>
    <w:rsid w:val="00DD77DA"/>
    <w:rsid w:val="00E25EA3"/>
    <w:rsid w:val="00E612FF"/>
    <w:rsid w:val="00EB1B31"/>
    <w:rsid w:val="00EC4853"/>
    <w:rsid w:val="00F23C1D"/>
    <w:rsid w:val="00F818D6"/>
    <w:rsid w:val="00FA372B"/>
    <w:rsid w:val="00FB7602"/>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Hyperlink">
    <w:name w:val="Hyperlink"/>
    <w:basedOn w:val="DefaultParagraphFont"/>
    <w:uiPriority w:val="99"/>
    <w:unhideWhenUsed/>
    <w:rsid w:val="00BF32A4"/>
    <w:rPr>
      <w:color w:val="0563C1" w:themeColor="hyperlink"/>
      <w:u w:val="single"/>
    </w:rPr>
  </w:style>
  <w:style w:type="character" w:styleId="UnresolvedMention">
    <w:name w:val="Unresolved Mention"/>
    <w:basedOn w:val="DefaultParagraphFont"/>
    <w:uiPriority w:val="99"/>
    <w:semiHidden/>
    <w:unhideWhenUsed/>
    <w:rsid w:val="00BF3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echfore.2021.12080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doi.org/https://doi.org/10.1029/2020EF001508" TargetMode="External"/><Relationship Id="rId4" Type="http://schemas.openxmlformats.org/officeDocument/2006/relationships/numbering" Target="numbering.xml"/><Relationship Id="rId9" Type="http://schemas.openxmlformats.org/officeDocument/2006/relationships/hyperlink" Target="https://doi.org/10.1016/j.crm.2016.08.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www.w3.org/XML/1998/namespace"/>
    <ds:schemaRef ds:uri="cab52c9b-ab33-4221-8af9-54f8f2b86a80"/>
    <ds:schemaRef ds:uri="http://schemas.microsoft.com/office/2006/documentManagement/types"/>
    <ds:schemaRef ds:uri="http://purl.org/dc/terms/"/>
    <ds:schemaRef ds:uri="http://schemas.microsoft.com/office/2006/metadata/properties"/>
    <ds:schemaRef ds:uri="6911e96c-4cc4-42d5-8e43-f93924cf6a05"/>
    <ds:schemaRef ds:uri="http://purl.org/dc/dcmitype/"/>
    <ds:schemaRef ds:uri="http://schemas.microsoft.com/office/infopath/2007/PartnerControls"/>
    <ds:schemaRef ds:uri="http://schemas.openxmlformats.org/package/2006/metadata/core-properties"/>
    <ds:schemaRef ds:uri="9c8a2b7b-0bee-4c48-b0a6-23db8982d3bc"/>
    <ds:schemaRef ds:uri="http://purl.org/dc/elements/1.1/"/>
  </ds:schemaRefs>
</ds:datastoreItem>
</file>

<file path=customXml/itemProps3.xml><?xml version="1.0" encoding="utf-8"?>
<ds:datastoreItem xmlns:ds="http://schemas.openxmlformats.org/officeDocument/2006/customXml" ds:itemID="{B51AFF7E-030F-469A-A808-858E20CA3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811</Words>
  <Characters>4629</Characters>
  <Application>Microsoft Office Word</Application>
  <DocSecurity>0</DocSecurity>
  <Lines>38</Lines>
  <Paragraphs>10</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21</cp:revision>
  <dcterms:created xsi:type="dcterms:W3CDTF">2024-09-16T20:56:00Z</dcterms:created>
  <dcterms:modified xsi:type="dcterms:W3CDTF">2025-08-08T05:08:00Z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