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D92A5" w14:textId="4D2F6E8D" w:rsidR="009606C4" w:rsidRPr="00687639" w:rsidRDefault="006C6060">
      <w:pPr>
        <w:rPr>
          <w:rFonts w:ascii="Arial" w:hAnsi="Arial" w:cs="Arial"/>
          <w:b/>
          <w:bCs/>
          <w:sz w:val="28"/>
          <w:szCs w:val="28"/>
        </w:rPr>
      </w:pPr>
      <w:r w:rsidRPr="00687639">
        <w:rPr>
          <w:rFonts w:ascii="Arial" w:hAnsi="Arial" w:cs="Arial"/>
          <w:b/>
          <w:bCs/>
          <w:sz w:val="28"/>
          <w:szCs w:val="28"/>
        </w:rPr>
        <w:t xml:space="preserve">Title: </w:t>
      </w:r>
      <w:r w:rsidRPr="00687639">
        <w:rPr>
          <w:rFonts w:ascii="Arial" w:hAnsi="Arial" w:cs="Arial"/>
          <w:b/>
          <w:bCs/>
          <w:sz w:val="28"/>
          <w:szCs w:val="28"/>
        </w:rPr>
        <w:t xml:space="preserve">Don’t </w:t>
      </w:r>
      <w:r w:rsidRPr="00687639">
        <w:rPr>
          <w:rFonts w:ascii="Arial" w:hAnsi="Arial" w:cs="Arial"/>
          <w:b/>
          <w:bCs/>
          <w:sz w:val="28"/>
          <w:szCs w:val="28"/>
        </w:rPr>
        <w:t>f</w:t>
      </w:r>
      <w:r w:rsidRPr="00687639">
        <w:rPr>
          <w:rFonts w:ascii="Arial" w:hAnsi="Arial" w:cs="Arial"/>
          <w:b/>
          <w:bCs/>
          <w:sz w:val="28"/>
          <w:szCs w:val="28"/>
        </w:rPr>
        <w:t>orget the ‘C’ in DKA: A Vitamin C</w:t>
      </w:r>
      <w:r w:rsidRPr="00687639">
        <w:rPr>
          <w:rFonts w:ascii="Arial" w:hAnsi="Arial" w:cs="Arial"/>
          <w:b/>
          <w:bCs/>
          <w:sz w:val="28"/>
          <w:szCs w:val="28"/>
        </w:rPr>
        <w:t xml:space="preserve"> i</w:t>
      </w:r>
      <w:r w:rsidRPr="00687639">
        <w:rPr>
          <w:rFonts w:ascii="Arial" w:hAnsi="Arial" w:cs="Arial"/>
          <w:b/>
          <w:bCs/>
          <w:sz w:val="28"/>
          <w:szCs w:val="28"/>
        </w:rPr>
        <w:t xml:space="preserve">nduced DKA </w:t>
      </w:r>
      <w:r w:rsidRPr="00687639">
        <w:rPr>
          <w:rFonts w:ascii="Arial" w:hAnsi="Arial" w:cs="Arial"/>
          <w:b/>
          <w:bCs/>
          <w:sz w:val="28"/>
          <w:szCs w:val="28"/>
        </w:rPr>
        <w:t>m</w:t>
      </w:r>
      <w:r w:rsidRPr="00687639">
        <w:rPr>
          <w:rFonts w:ascii="Arial" w:hAnsi="Arial" w:cs="Arial"/>
          <w:b/>
          <w:bCs/>
          <w:sz w:val="28"/>
          <w:szCs w:val="28"/>
        </w:rPr>
        <w:t xml:space="preserve">imic with </w:t>
      </w:r>
      <w:r w:rsidRPr="00687639">
        <w:rPr>
          <w:rFonts w:ascii="Arial" w:hAnsi="Arial" w:cs="Arial"/>
          <w:b/>
          <w:bCs/>
          <w:sz w:val="28"/>
          <w:szCs w:val="28"/>
        </w:rPr>
        <w:t>r</w:t>
      </w:r>
      <w:r w:rsidRPr="00687639">
        <w:rPr>
          <w:rFonts w:ascii="Arial" w:hAnsi="Arial" w:cs="Arial"/>
          <w:b/>
          <w:bCs/>
          <w:sz w:val="28"/>
          <w:szCs w:val="28"/>
        </w:rPr>
        <w:t xml:space="preserve">isk of </w:t>
      </w:r>
      <w:r w:rsidRPr="00687639">
        <w:rPr>
          <w:rFonts w:ascii="Arial" w:hAnsi="Arial" w:cs="Arial"/>
          <w:b/>
          <w:bCs/>
          <w:sz w:val="28"/>
          <w:szCs w:val="28"/>
        </w:rPr>
        <w:t>in</w:t>
      </w:r>
      <w:r w:rsidRPr="00687639">
        <w:rPr>
          <w:rFonts w:ascii="Arial" w:hAnsi="Arial" w:cs="Arial"/>
          <w:b/>
          <w:bCs/>
          <w:sz w:val="28"/>
          <w:szCs w:val="28"/>
        </w:rPr>
        <w:t xml:space="preserve">appropriate </w:t>
      </w:r>
      <w:r w:rsidRPr="00687639">
        <w:rPr>
          <w:rFonts w:ascii="Arial" w:hAnsi="Arial" w:cs="Arial"/>
          <w:b/>
          <w:bCs/>
          <w:sz w:val="28"/>
          <w:szCs w:val="28"/>
        </w:rPr>
        <w:t>i</w:t>
      </w:r>
      <w:r w:rsidRPr="00687639">
        <w:rPr>
          <w:rFonts w:ascii="Arial" w:hAnsi="Arial" w:cs="Arial"/>
          <w:b/>
          <w:bCs/>
          <w:sz w:val="28"/>
          <w:szCs w:val="28"/>
        </w:rPr>
        <w:t xml:space="preserve">nsulin </w:t>
      </w:r>
      <w:r w:rsidRPr="00687639">
        <w:rPr>
          <w:rFonts w:ascii="Arial" w:hAnsi="Arial" w:cs="Arial"/>
          <w:b/>
          <w:bCs/>
          <w:sz w:val="28"/>
          <w:szCs w:val="28"/>
        </w:rPr>
        <w:t>t</w:t>
      </w:r>
      <w:r w:rsidRPr="00687639">
        <w:rPr>
          <w:rFonts w:ascii="Arial" w:hAnsi="Arial" w:cs="Arial"/>
          <w:b/>
          <w:bCs/>
          <w:sz w:val="28"/>
          <w:szCs w:val="28"/>
        </w:rPr>
        <w:t>herapy</w:t>
      </w:r>
      <w:r w:rsidRPr="00687639">
        <w:rPr>
          <w:rFonts w:ascii="Arial" w:hAnsi="Arial" w:cs="Arial"/>
          <w:b/>
          <w:bCs/>
          <w:sz w:val="28"/>
          <w:szCs w:val="28"/>
        </w:rPr>
        <w:t xml:space="preserve">. </w:t>
      </w:r>
      <w:r w:rsidR="009606C4" w:rsidRPr="00687639">
        <w:rPr>
          <w:rFonts w:ascii="Arial" w:hAnsi="Arial" w:cs="Arial"/>
          <w:b/>
          <w:bCs/>
          <w:sz w:val="28"/>
          <w:szCs w:val="28"/>
        </w:rPr>
        <w:t xml:space="preserve">  </w:t>
      </w:r>
    </w:p>
    <w:p w14:paraId="67920F9A" w14:textId="77777777" w:rsidR="009606C4" w:rsidRPr="00780C7C" w:rsidRDefault="009606C4" w:rsidP="009606C4">
      <w:pPr>
        <w:rPr>
          <w:rFonts w:ascii="Arial" w:hAnsi="Arial" w:cs="Arial"/>
          <w:color w:val="156082" w:themeColor="accent1"/>
        </w:rPr>
      </w:pPr>
      <w:r w:rsidRPr="00780C7C">
        <w:rPr>
          <w:rFonts w:ascii="Arial" w:hAnsi="Arial" w:cs="Arial"/>
          <w:b/>
          <w:bCs/>
          <w:color w:val="156082" w:themeColor="accent1"/>
        </w:rPr>
        <w:t>Dr Catherine Willis:</w:t>
      </w:r>
      <w:r w:rsidRPr="00780C7C">
        <w:rPr>
          <w:rFonts w:ascii="Arial" w:hAnsi="Arial" w:cs="Arial"/>
          <w:color w:val="156082" w:themeColor="accent1"/>
        </w:rPr>
        <w:t xml:space="preserve"> Supervised by Dr Ee Mun Lim. </w:t>
      </w:r>
    </w:p>
    <w:p w14:paraId="51E296CC" w14:textId="72297E56" w:rsidR="006C6060" w:rsidRPr="00780C7C" w:rsidRDefault="006C6060" w:rsidP="006C6060">
      <w:pPr>
        <w:pStyle w:val="NormalWeb"/>
        <w:rPr>
          <w:rFonts w:ascii="Arial" w:hAnsi="Arial" w:cs="Arial"/>
        </w:rPr>
      </w:pPr>
      <w:r w:rsidRPr="006C6060">
        <w:rPr>
          <w:rStyle w:val="Strong"/>
          <w:rFonts w:ascii="Arial" w:eastAsiaTheme="majorEastAsia" w:hAnsi="Arial" w:cs="Arial"/>
        </w:rPr>
        <w:t>Case description:</w:t>
      </w:r>
      <w:r w:rsidRPr="006C6060">
        <w:rPr>
          <w:rFonts w:ascii="Arial" w:hAnsi="Arial" w:cs="Arial"/>
        </w:rPr>
        <w:t xml:space="preserve"> </w:t>
      </w:r>
      <w:r w:rsidR="00780C7C" w:rsidRPr="00780C7C">
        <w:rPr>
          <w:rFonts w:ascii="Arial" w:hAnsi="Arial" w:cs="Arial"/>
        </w:rPr>
        <w:t>A 36-year-old woman presented with a seizure during a 15 g ascorbic acid and glutathione infusion for cosmetic purposes.</w:t>
      </w:r>
      <w:r w:rsidR="00780C7C" w:rsidRPr="00780C7C">
        <w:rPr>
          <w:rFonts w:ascii="Arial" w:hAnsi="Arial" w:cs="Arial"/>
        </w:rPr>
        <w:t xml:space="preserve"> </w:t>
      </w:r>
      <w:r w:rsidRPr="00780C7C">
        <w:rPr>
          <w:rFonts w:ascii="Arial" w:hAnsi="Arial" w:cs="Arial"/>
        </w:rPr>
        <w:t>Point-of-care testing demonstrated marked hyperglycaemia and ketosis (6 mmol/L). Venous blood gas confirmed metabolic acidosis with glucose 15.9 mmol/L. Laboratory plasma glucose was 15.5 mmol/L and β-hydroxybutyrate 5.0 mmol/L. A DKA protocol was initiated until resolution of acidosis.</w:t>
      </w:r>
      <w:r w:rsidR="00780C7C" w:rsidRPr="00780C7C">
        <w:rPr>
          <w:rFonts w:ascii="Arial" w:hAnsi="Arial" w:cs="Arial"/>
        </w:rPr>
        <w:t xml:space="preserve"> </w:t>
      </w:r>
      <w:r w:rsidR="00780C7C" w:rsidRPr="00780C7C">
        <w:rPr>
          <w:rFonts w:ascii="Arial" w:hAnsi="Arial" w:cs="Arial"/>
        </w:rPr>
        <w:t>Following completion of the DKA protocol, no further insulin was required; her HbA1c was 5.3%, and she was deemed not to have diabetes.</w:t>
      </w:r>
    </w:p>
    <w:p w14:paraId="7CC00020" w14:textId="7FC2F996" w:rsidR="006C6060" w:rsidRPr="00780C7C" w:rsidRDefault="006C6060" w:rsidP="006C6060">
      <w:pPr>
        <w:pStyle w:val="NormalWeb"/>
        <w:rPr>
          <w:rFonts w:ascii="Arial" w:hAnsi="Arial" w:cs="Arial"/>
        </w:rPr>
      </w:pPr>
      <w:r w:rsidRPr="00780C7C">
        <w:rPr>
          <w:rFonts w:ascii="Arial" w:hAnsi="Arial" w:cs="Arial"/>
        </w:rPr>
        <w:t xml:space="preserve">Subsequent review suggested analytical interference from high-dose vitamin C. </w:t>
      </w:r>
      <w:r w:rsidR="00780C7C" w:rsidRPr="00780C7C">
        <w:rPr>
          <w:rFonts w:ascii="Arial" w:hAnsi="Arial" w:cs="Arial"/>
        </w:rPr>
        <w:t>This was confirmed in vitro using vitamin C–spiked serum across multiple glucose and ketone platforms</w:t>
      </w:r>
      <w:r w:rsidRPr="00780C7C">
        <w:rPr>
          <w:rFonts w:ascii="Arial" w:hAnsi="Arial" w:cs="Arial"/>
        </w:rPr>
        <w:t xml:space="preserve"> (Table</w:t>
      </w:r>
      <w:r w:rsidR="00687639" w:rsidRPr="00780C7C">
        <w:rPr>
          <w:rFonts w:ascii="Arial" w:hAnsi="Arial" w:cs="Arial"/>
        </w:rPr>
        <w:t>s</w:t>
      </w:r>
      <w:r w:rsidRPr="00780C7C">
        <w:rPr>
          <w:rFonts w:ascii="Arial" w:hAnsi="Arial" w:cs="Arial"/>
        </w:rPr>
        <w:t xml:space="preserve"> 1</w:t>
      </w:r>
      <w:r w:rsidR="00687639" w:rsidRPr="00780C7C">
        <w:rPr>
          <w:rFonts w:ascii="Arial" w:hAnsi="Arial" w:cs="Arial"/>
        </w:rPr>
        <w:t xml:space="preserve"> and 2</w:t>
      </w:r>
      <w:r w:rsidRPr="00780C7C">
        <w:rPr>
          <w:rFonts w:ascii="Arial" w:hAnsi="Arial" w:cs="Arial"/>
        </w:rPr>
        <w:t>)</w:t>
      </w:r>
      <w:r w:rsidRPr="00780C7C">
        <w:rPr>
          <w:rFonts w:ascii="Arial" w:hAnsi="Arial" w:cs="Arial"/>
        </w:rPr>
        <w:t xml:space="preserve">. </w:t>
      </w:r>
      <w:r w:rsidR="00780C7C" w:rsidRPr="00780C7C">
        <w:rPr>
          <w:rFonts w:ascii="Arial" w:hAnsi="Arial" w:cs="Arial"/>
        </w:rPr>
        <w:t>The findings were replicated</w:t>
      </w:r>
      <w:r w:rsidRPr="00780C7C">
        <w:rPr>
          <w:rFonts w:ascii="Arial" w:hAnsi="Arial" w:cs="Arial"/>
        </w:rPr>
        <w:t xml:space="preserve"> </w:t>
      </w:r>
      <w:r w:rsidRPr="00780C7C">
        <w:rPr>
          <w:rFonts w:ascii="Arial" w:hAnsi="Arial" w:cs="Arial"/>
        </w:rPr>
        <w:t xml:space="preserve">in a healthy individual receiving a 15g infusion while wearing Dexcom G7 and </w:t>
      </w:r>
      <w:proofErr w:type="spellStart"/>
      <w:r w:rsidRPr="00780C7C">
        <w:rPr>
          <w:rFonts w:ascii="Arial" w:hAnsi="Arial" w:cs="Arial"/>
        </w:rPr>
        <w:t>FreeStyle</w:t>
      </w:r>
      <w:proofErr w:type="spellEnd"/>
      <w:r w:rsidRPr="00780C7C">
        <w:rPr>
          <w:rFonts w:ascii="Arial" w:hAnsi="Arial" w:cs="Arial"/>
        </w:rPr>
        <w:t xml:space="preserve"> Libre 2, demonstrating device-dependent CGM interference lasting up to 12 hours, with </w:t>
      </w:r>
      <w:r w:rsidR="00780C7C" w:rsidRPr="00780C7C">
        <w:rPr>
          <w:rFonts w:ascii="Arial" w:hAnsi="Arial" w:cs="Arial"/>
        </w:rPr>
        <w:t xml:space="preserve">elevated </w:t>
      </w:r>
      <w:r w:rsidRPr="00780C7C">
        <w:rPr>
          <w:rFonts w:ascii="Arial" w:hAnsi="Arial" w:cs="Arial"/>
        </w:rPr>
        <w:t>point-of-care glucose</w:t>
      </w:r>
      <w:r w:rsidRPr="00780C7C">
        <w:rPr>
          <w:rFonts w:ascii="Arial" w:hAnsi="Arial" w:cs="Arial"/>
        </w:rPr>
        <w:t xml:space="preserve"> and </w:t>
      </w:r>
      <w:r w:rsidRPr="00780C7C">
        <w:rPr>
          <w:rFonts w:ascii="Arial" w:hAnsi="Arial" w:cs="Arial"/>
        </w:rPr>
        <w:t>ketones</w:t>
      </w:r>
      <w:r w:rsidR="00780C7C" w:rsidRPr="00780C7C">
        <w:rPr>
          <w:rFonts w:ascii="Arial" w:hAnsi="Arial" w:cs="Arial"/>
        </w:rPr>
        <w:t xml:space="preserve"> comparable to the case patient. </w:t>
      </w:r>
    </w:p>
    <w:p w14:paraId="279D12F1" w14:textId="0E3214D4" w:rsidR="006C6060" w:rsidRPr="009606C4" w:rsidRDefault="009606C4" w:rsidP="009606C4">
      <w:pPr>
        <w:spacing w:after="0" w:line="240" w:lineRule="auto"/>
        <w:rPr>
          <w:rStyle w:val="Strong"/>
          <w:rFonts w:ascii="Arial" w:eastAsiaTheme="majorEastAsia" w:hAnsi="Arial" w:cs="Arial"/>
        </w:rPr>
      </w:pPr>
      <w:r w:rsidRPr="009606C4">
        <w:rPr>
          <w:rStyle w:val="Strong"/>
          <w:rFonts w:ascii="Arial" w:eastAsiaTheme="majorEastAsia" w:hAnsi="Arial" w:cs="Arial"/>
        </w:rPr>
        <w:t>Questions arising from the case:</w:t>
      </w:r>
    </w:p>
    <w:p w14:paraId="00B355C0" w14:textId="18867216" w:rsidR="009606C4" w:rsidRPr="009606C4" w:rsidRDefault="009606C4" w:rsidP="009606C4">
      <w:pPr>
        <w:pStyle w:val="NormalWeb"/>
        <w:numPr>
          <w:ilvl w:val="0"/>
          <w:numId w:val="1"/>
        </w:numPr>
        <w:spacing w:before="240" w:beforeAutospacing="0"/>
        <w:ind w:left="714" w:hanging="357"/>
        <w:rPr>
          <w:rFonts w:ascii="Arial" w:hAnsi="Arial" w:cs="Arial"/>
        </w:rPr>
      </w:pPr>
      <w:r w:rsidRPr="009606C4">
        <w:rPr>
          <w:rFonts w:ascii="Arial" w:hAnsi="Arial" w:cs="Arial"/>
        </w:rPr>
        <w:t xml:space="preserve">How can clinicians distinguish true diabetic ketoacidosis from test interference in patients recently exposed to high-dose intravenous vitamin C? </w:t>
      </w:r>
    </w:p>
    <w:p w14:paraId="0DE0D3C8" w14:textId="77345D74" w:rsidR="009606C4" w:rsidRDefault="009606C4" w:rsidP="009606C4">
      <w:pPr>
        <w:pStyle w:val="NormalWeb"/>
        <w:numPr>
          <w:ilvl w:val="0"/>
          <w:numId w:val="1"/>
        </w:numPr>
        <w:spacing w:before="240" w:beforeAutospacing="0"/>
        <w:ind w:left="714" w:hanging="357"/>
        <w:rPr>
          <w:rFonts w:ascii="Arial" w:hAnsi="Arial" w:cs="Arial"/>
        </w:rPr>
      </w:pPr>
      <w:r w:rsidRPr="009606C4">
        <w:rPr>
          <w:rFonts w:ascii="Arial" w:hAnsi="Arial" w:cs="Arial"/>
        </w:rPr>
        <w:t>What are the clinical risks of vitamin C</w:t>
      </w:r>
      <w:r>
        <w:rPr>
          <w:rFonts w:ascii="Arial" w:hAnsi="Arial" w:cs="Arial"/>
        </w:rPr>
        <w:t xml:space="preserve"> </w:t>
      </w:r>
      <w:r w:rsidRPr="009606C4">
        <w:rPr>
          <w:rFonts w:ascii="Arial" w:hAnsi="Arial" w:cs="Arial"/>
        </w:rPr>
        <w:t>related interference (including inappropriate insulin use), and how should this change patient counselling and management?</w:t>
      </w:r>
    </w:p>
    <w:p w14:paraId="327176F2" w14:textId="29B9157B" w:rsidR="009606C4" w:rsidRDefault="009606C4" w:rsidP="009606C4">
      <w:pPr>
        <w:pStyle w:val="NormalWeb"/>
        <w:spacing w:before="240" w:beforeAutospacing="0"/>
        <w:rPr>
          <w:rFonts w:ascii="Arial" w:hAnsi="Arial" w:cs="Arial"/>
          <w:b/>
          <w:bCs/>
        </w:rPr>
      </w:pPr>
      <w:r w:rsidRPr="009606C4">
        <w:rPr>
          <w:rFonts w:ascii="Arial" w:hAnsi="Arial" w:cs="Arial"/>
          <w:b/>
          <w:bCs/>
        </w:rPr>
        <w:t xml:space="preserve">Summary of proposed discussion </w:t>
      </w:r>
    </w:p>
    <w:p w14:paraId="1A50E2E7" w14:textId="77777777" w:rsidR="00687639" w:rsidRPr="00687639" w:rsidRDefault="00687639" w:rsidP="00687639">
      <w:pPr>
        <w:pStyle w:val="NormalWeb"/>
        <w:rPr>
          <w:rFonts w:ascii="Arial" w:hAnsi="Arial" w:cs="Arial"/>
        </w:rPr>
      </w:pPr>
      <w:r w:rsidRPr="00687639">
        <w:rPr>
          <w:rFonts w:ascii="Arial" w:hAnsi="Arial" w:cs="Arial"/>
        </w:rPr>
        <w:t xml:space="preserve">This case highlights a diagnostic pitfall whereby intravenous vitamin C can mimic diabetic ketoacidosis (DKA) through interference with both glucose and ketone assays. </w:t>
      </w:r>
      <w:r w:rsidRPr="00687639">
        <w:rPr>
          <w:rStyle w:val="Strong"/>
          <w:rFonts w:ascii="Arial" w:eastAsiaTheme="majorEastAsia" w:hAnsi="Arial" w:cs="Arial"/>
          <w:b w:val="0"/>
          <w:bCs w:val="0"/>
        </w:rPr>
        <w:t>The interference with continuous glucose monitoring (CGM) and glucometer readings also highlights risk for patients with established diabetes on insulin therapy, where reliance on inaccurate readings risks inappropriate insulin dosing.</w:t>
      </w:r>
    </w:p>
    <w:p w14:paraId="2C1D828C" w14:textId="77777777" w:rsidR="00687639" w:rsidRPr="00687639" w:rsidRDefault="00687639" w:rsidP="00687639">
      <w:pPr>
        <w:pStyle w:val="NormalWeb"/>
        <w:rPr>
          <w:rFonts w:ascii="Arial" w:hAnsi="Arial" w:cs="Arial"/>
        </w:rPr>
      </w:pPr>
      <w:r w:rsidRPr="00687639">
        <w:rPr>
          <w:rFonts w:ascii="Arial" w:hAnsi="Arial" w:cs="Arial"/>
        </w:rPr>
        <w:t>We confirmed analytical interference from high-dose vitamin C with point-of-care glucose and ketone measurements, as well as certain laboratory assays involving peroxidase and oxidase based enzymatic reactions.</w:t>
      </w:r>
      <w:r w:rsidRPr="00687639">
        <w:rPr>
          <w:rFonts w:ascii="Arial" w:hAnsi="Arial" w:cs="Arial"/>
          <w:vertAlign w:val="superscript"/>
        </w:rPr>
        <w:t>1-3</w:t>
      </w:r>
      <w:r w:rsidRPr="00687639">
        <w:rPr>
          <w:rFonts w:ascii="Arial" w:hAnsi="Arial" w:cs="Arial"/>
        </w:rPr>
        <w:t xml:space="preserve"> Positive interference has been demonstrated in glucose measurement using Accu-Chek glucometers at vitamin C concentrations of 150–300 mg/L.¹ However, the effect on ketone measurement has not previously been described.</w:t>
      </w:r>
    </w:p>
    <w:p w14:paraId="03260B68" w14:textId="77777777" w:rsidR="00687639" w:rsidRPr="00687639" w:rsidRDefault="00687639" w:rsidP="00687639">
      <w:pPr>
        <w:pStyle w:val="NormalWeb"/>
        <w:rPr>
          <w:rFonts w:ascii="Arial" w:hAnsi="Arial" w:cs="Arial"/>
        </w:rPr>
      </w:pPr>
      <w:r w:rsidRPr="00687639">
        <w:rPr>
          <w:rStyle w:val="Strong"/>
          <w:rFonts w:ascii="Arial" w:eastAsiaTheme="majorEastAsia" w:hAnsi="Arial" w:cs="Arial"/>
          <w:b w:val="0"/>
          <w:bCs w:val="0"/>
        </w:rPr>
        <w:t>Our in vitro spiking experiment demonstrated interference across multiple glucose and ketone platforms.</w:t>
      </w:r>
      <w:r w:rsidRPr="00687639">
        <w:rPr>
          <w:rFonts w:ascii="Arial" w:hAnsi="Arial" w:cs="Arial"/>
        </w:rPr>
        <w:t xml:space="preserve"> This was replicated in vivo, with device-dependent interference on CGM following a 15 g intravenous vitamin C infusion (Figures 1 and 2), resulting in falsely elevated glucose readings for up to 12 hours.</w:t>
      </w:r>
    </w:p>
    <w:p w14:paraId="65904063" w14:textId="77777777" w:rsidR="00687639" w:rsidRPr="00687639" w:rsidRDefault="00687639" w:rsidP="00687639">
      <w:pPr>
        <w:pStyle w:val="NormalWeb"/>
        <w:rPr>
          <w:rFonts w:ascii="Arial" w:hAnsi="Arial" w:cs="Arial"/>
        </w:rPr>
      </w:pPr>
      <w:r w:rsidRPr="00687639">
        <w:rPr>
          <w:rFonts w:ascii="Arial" w:hAnsi="Arial" w:cs="Arial"/>
        </w:rPr>
        <w:lastRenderedPageBreak/>
        <w:t>This has important clinical implications, particularly the risk of inappropriate insulin administration in patients relying on glucometers or CGM to guide treatment decisions. Clinicians should recognise this phenomenon, confirm unexpected results with alternative methods, and advise patients to avoid CGM or glucometer-based decisions during suspected interference.</w:t>
      </w:r>
    </w:p>
    <w:p w14:paraId="326ED0F8" w14:textId="77777777" w:rsidR="00687639" w:rsidRDefault="00687639" w:rsidP="00687639">
      <w:pPr>
        <w:pStyle w:val="NormalWeb"/>
        <w:rPr>
          <w:rFonts w:ascii="Arial" w:hAnsi="Arial" w:cs="Arial"/>
        </w:rPr>
      </w:pPr>
    </w:p>
    <w:p w14:paraId="184B8AAB" w14:textId="77777777" w:rsidR="00780C7C" w:rsidRPr="00687639" w:rsidRDefault="00780C7C" w:rsidP="00687639">
      <w:pPr>
        <w:pStyle w:val="NormalWeb"/>
        <w:rPr>
          <w:rFonts w:ascii="Arial" w:hAnsi="Arial" w:cs="Arial"/>
        </w:rPr>
      </w:pPr>
    </w:p>
    <w:p w14:paraId="75AB722C" w14:textId="127A3B75" w:rsidR="00687639" w:rsidRPr="00687639" w:rsidRDefault="00687639" w:rsidP="00780C7C">
      <w:pPr>
        <w:jc w:val="center"/>
        <w:rPr>
          <w:rFonts w:ascii="Arial" w:hAnsi="Arial" w:cs="Arial"/>
          <w:b/>
          <w:bCs/>
          <w:sz w:val="22"/>
          <w:szCs w:val="22"/>
        </w:rPr>
      </w:pPr>
      <w:r>
        <w:rPr>
          <w:rFonts w:ascii="Arial" w:hAnsi="Arial" w:cs="Arial"/>
          <w:b/>
          <w:bCs/>
          <w:sz w:val="22"/>
          <w:szCs w:val="22"/>
        </w:rPr>
        <w:t xml:space="preserve">Table 1: </w:t>
      </w:r>
      <w:r>
        <w:rPr>
          <w:rFonts w:ascii="Arial" w:hAnsi="Arial" w:cs="Arial"/>
          <w:b/>
          <w:bCs/>
          <w:sz w:val="22"/>
          <w:szCs w:val="22"/>
          <w:lang w:val="en-US"/>
        </w:rPr>
        <w:t>B</w:t>
      </w:r>
      <w:r w:rsidRPr="00687639">
        <w:rPr>
          <w:rFonts w:ascii="Arial" w:hAnsi="Arial" w:cs="Arial"/>
          <w:b/>
          <w:bCs/>
          <w:sz w:val="22"/>
          <w:szCs w:val="22"/>
          <w:lang w:val="en-US"/>
        </w:rPr>
        <w:t xml:space="preserve">lood </w:t>
      </w:r>
      <w:r>
        <w:rPr>
          <w:rFonts w:ascii="Arial" w:hAnsi="Arial" w:cs="Arial"/>
          <w:b/>
          <w:bCs/>
          <w:sz w:val="22"/>
          <w:szCs w:val="22"/>
          <w:lang w:val="en-US"/>
        </w:rPr>
        <w:t xml:space="preserve">spiked </w:t>
      </w:r>
      <w:r w:rsidRPr="00687639">
        <w:rPr>
          <w:rFonts w:ascii="Arial" w:hAnsi="Arial" w:cs="Arial"/>
          <w:b/>
          <w:bCs/>
          <w:sz w:val="22"/>
          <w:szCs w:val="22"/>
          <w:lang w:val="en-US"/>
        </w:rPr>
        <w:t xml:space="preserve">with varying Vitamin C </w:t>
      </w:r>
      <w:r>
        <w:rPr>
          <w:rFonts w:ascii="Arial" w:hAnsi="Arial" w:cs="Arial"/>
          <w:b/>
          <w:bCs/>
          <w:sz w:val="22"/>
          <w:szCs w:val="22"/>
          <w:lang w:val="en-US"/>
        </w:rPr>
        <w:t xml:space="preserve">concentrations: </w:t>
      </w:r>
      <w:r w:rsidRPr="00687639">
        <w:rPr>
          <w:rFonts w:ascii="Arial" w:hAnsi="Arial" w:cs="Arial"/>
          <w:b/>
          <w:bCs/>
          <w:sz w:val="22"/>
          <w:szCs w:val="22"/>
          <w:lang w:val="en-US"/>
        </w:rPr>
        <w:t>Glucose</w:t>
      </w:r>
      <w:r>
        <w:rPr>
          <w:rFonts w:ascii="Arial" w:hAnsi="Arial" w:cs="Arial"/>
          <w:b/>
          <w:bCs/>
          <w:sz w:val="22"/>
          <w:szCs w:val="22"/>
          <w:lang w:val="en-US"/>
        </w:rPr>
        <w:t xml:space="preserve"> measurements</w:t>
      </w:r>
      <w:r w:rsidR="00780C7C">
        <w:rPr>
          <w:rFonts w:ascii="Times" w:hAnsi="Times"/>
          <w:noProof/>
          <w:color w:val="000000"/>
          <w:sz w:val="18"/>
          <w:szCs w:val="18"/>
        </w:rPr>
        <w:drawing>
          <wp:inline distT="0" distB="0" distL="0" distR="0" wp14:anchorId="2CA935DB" wp14:editId="45E6CE11">
            <wp:extent cx="5731510" cy="2118995"/>
            <wp:effectExtent l="0" t="0" r="0" b="1905"/>
            <wp:docPr id="139967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7781" name="Picture 1399677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118995"/>
                    </a:xfrm>
                    <a:prstGeom prst="rect">
                      <a:avLst/>
                    </a:prstGeom>
                  </pic:spPr>
                </pic:pic>
              </a:graphicData>
            </a:graphic>
          </wp:inline>
        </w:drawing>
      </w:r>
      <w:r w:rsidRPr="00687639">
        <w:rPr>
          <w:rFonts w:ascii="Times" w:hAnsi="Times"/>
          <w:color w:val="000000"/>
          <w:sz w:val="18"/>
          <w:szCs w:val="18"/>
        </w:rPr>
        <w:t>Error 12: “The blood sample may contain a high level of Ascorbate”.4</w:t>
      </w:r>
    </w:p>
    <w:p w14:paraId="7EAD2888" w14:textId="53F8E0C4" w:rsidR="00687639" w:rsidRDefault="00687639" w:rsidP="00687639">
      <w:pPr>
        <w:pStyle w:val="NormalWeb"/>
        <w:rPr>
          <w:rFonts w:ascii="Times" w:hAnsi="Times"/>
          <w:color w:val="000000"/>
          <w:sz w:val="18"/>
          <w:szCs w:val="18"/>
        </w:rPr>
      </w:pPr>
      <w:r w:rsidRPr="00687639">
        <w:rPr>
          <w:rFonts w:ascii="Times" w:hAnsi="Times"/>
          <w:color w:val="000000"/>
          <w:sz w:val="18"/>
          <w:szCs w:val="18"/>
        </w:rPr>
        <w:t>** Error 3: “meter or a test strip error has occurred. In rare cases, an E-3 message may indicate that your blood glucose is extremely high and above the system’s measuring range.”4.</w:t>
      </w:r>
    </w:p>
    <w:p w14:paraId="36CD83FB" w14:textId="77777777" w:rsidR="00780C7C" w:rsidRDefault="00780C7C" w:rsidP="00687639">
      <w:pPr>
        <w:pStyle w:val="NormalWeb"/>
        <w:rPr>
          <w:rFonts w:ascii="Times" w:hAnsi="Times"/>
          <w:color w:val="000000"/>
          <w:sz w:val="18"/>
          <w:szCs w:val="18"/>
        </w:rPr>
      </w:pPr>
    </w:p>
    <w:p w14:paraId="771D3A0B" w14:textId="77777777" w:rsidR="00780C7C" w:rsidRPr="00687639" w:rsidRDefault="00780C7C" w:rsidP="00687639">
      <w:pPr>
        <w:pStyle w:val="NormalWeb"/>
        <w:rPr>
          <w:rFonts w:ascii="Times" w:hAnsi="Times"/>
          <w:color w:val="000000"/>
          <w:sz w:val="18"/>
          <w:szCs w:val="18"/>
        </w:rPr>
      </w:pPr>
    </w:p>
    <w:p w14:paraId="251E6F63" w14:textId="40239A52" w:rsidR="00687639" w:rsidRDefault="00687639">
      <w:pPr>
        <w:rPr>
          <w:rFonts w:ascii="Arial" w:hAnsi="Arial" w:cs="Arial"/>
          <w:b/>
          <w:bCs/>
          <w:sz w:val="22"/>
          <w:szCs w:val="22"/>
        </w:rPr>
      </w:pPr>
      <w:r>
        <w:rPr>
          <w:rFonts w:ascii="Arial" w:hAnsi="Arial" w:cs="Arial"/>
          <w:b/>
          <w:bCs/>
          <w:sz w:val="22"/>
          <w:szCs w:val="22"/>
        </w:rPr>
        <w:t xml:space="preserve">Table 2: </w:t>
      </w:r>
      <w:r>
        <w:rPr>
          <w:rFonts w:ascii="Arial" w:hAnsi="Arial" w:cs="Arial"/>
          <w:b/>
          <w:bCs/>
          <w:sz w:val="22"/>
          <w:szCs w:val="22"/>
        </w:rPr>
        <w:t xml:space="preserve">Table 1: </w:t>
      </w:r>
      <w:r>
        <w:rPr>
          <w:rFonts w:ascii="Arial" w:hAnsi="Arial" w:cs="Arial"/>
          <w:b/>
          <w:bCs/>
          <w:sz w:val="22"/>
          <w:szCs w:val="22"/>
          <w:lang w:val="en-US"/>
        </w:rPr>
        <w:t>B</w:t>
      </w:r>
      <w:r w:rsidRPr="00687639">
        <w:rPr>
          <w:rFonts w:ascii="Arial" w:hAnsi="Arial" w:cs="Arial"/>
          <w:b/>
          <w:bCs/>
          <w:sz w:val="22"/>
          <w:szCs w:val="22"/>
          <w:lang w:val="en-US"/>
        </w:rPr>
        <w:t xml:space="preserve">lood </w:t>
      </w:r>
      <w:r>
        <w:rPr>
          <w:rFonts w:ascii="Arial" w:hAnsi="Arial" w:cs="Arial"/>
          <w:b/>
          <w:bCs/>
          <w:sz w:val="22"/>
          <w:szCs w:val="22"/>
          <w:lang w:val="en-US"/>
        </w:rPr>
        <w:t xml:space="preserve">spiked </w:t>
      </w:r>
      <w:r w:rsidRPr="00687639">
        <w:rPr>
          <w:rFonts w:ascii="Arial" w:hAnsi="Arial" w:cs="Arial"/>
          <w:b/>
          <w:bCs/>
          <w:sz w:val="22"/>
          <w:szCs w:val="22"/>
          <w:lang w:val="en-US"/>
        </w:rPr>
        <w:t xml:space="preserve">with varying Vitamin C </w:t>
      </w:r>
      <w:r>
        <w:rPr>
          <w:rFonts w:ascii="Arial" w:hAnsi="Arial" w:cs="Arial"/>
          <w:b/>
          <w:bCs/>
          <w:sz w:val="22"/>
          <w:szCs w:val="22"/>
          <w:lang w:val="en-US"/>
        </w:rPr>
        <w:t xml:space="preserve">concentrations: </w:t>
      </w:r>
      <w:r>
        <w:rPr>
          <w:rFonts w:ascii="Arial" w:hAnsi="Arial" w:cs="Arial"/>
          <w:b/>
          <w:bCs/>
          <w:sz w:val="22"/>
          <w:szCs w:val="22"/>
          <w:lang w:val="en-US"/>
        </w:rPr>
        <w:t xml:space="preserve">Ketone </w:t>
      </w:r>
      <w:r>
        <w:rPr>
          <w:rFonts w:ascii="Arial" w:hAnsi="Arial" w:cs="Arial"/>
          <w:b/>
          <w:bCs/>
          <w:sz w:val="22"/>
          <w:szCs w:val="22"/>
          <w:lang w:val="en-US"/>
        </w:rPr>
        <w:t>measurements</w:t>
      </w:r>
    </w:p>
    <w:p w14:paraId="57D5AFE3" w14:textId="0ECD0F0B" w:rsidR="00687639" w:rsidRDefault="00687639" w:rsidP="00780C7C">
      <w:pPr>
        <w:jc w:val="center"/>
        <w:rPr>
          <w:rFonts w:ascii="Arial" w:hAnsi="Arial" w:cs="Arial"/>
          <w:b/>
          <w:bCs/>
          <w:sz w:val="22"/>
          <w:szCs w:val="22"/>
        </w:rPr>
      </w:pPr>
      <w:r>
        <w:rPr>
          <w:rFonts w:ascii="Arial" w:hAnsi="Arial" w:cs="Arial"/>
          <w:b/>
          <w:bCs/>
          <w:noProof/>
          <w:sz w:val="22"/>
          <w:szCs w:val="22"/>
        </w:rPr>
        <w:drawing>
          <wp:inline distT="0" distB="0" distL="0" distR="0" wp14:anchorId="327EC00D" wp14:editId="64770AD1">
            <wp:extent cx="4238513" cy="2164806"/>
            <wp:effectExtent l="0" t="0" r="3810" b="0"/>
            <wp:docPr id="162942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2249" name="Picture 1629422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30239" cy="2262729"/>
                    </a:xfrm>
                    <a:prstGeom prst="rect">
                      <a:avLst/>
                    </a:prstGeom>
                  </pic:spPr>
                </pic:pic>
              </a:graphicData>
            </a:graphic>
          </wp:inline>
        </w:drawing>
      </w:r>
    </w:p>
    <w:p w14:paraId="43FB3700" w14:textId="77777777" w:rsidR="00687639" w:rsidRDefault="00687639">
      <w:pPr>
        <w:rPr>
          <w:rFonts w:ascii="Arial" w:hAnsi="Arial" w:cs="Arial"/>
          <w:b/>
          <w:bCs/>
          <w:sz w:val="22"/>
          <w:szCs w:val="22"/>
        </w:rPr>
      </w:pPr>
    </w:p>
    <w:p w14:paraId="3FA9593C" w14:textId="77777777" w:rsidR="00780C7C" w:rsidRDefault="00780C7C">
      <w:pPr>
        <w:rPr>
          <w:rFonts w:ascii="Arial" w:hAnsi="Arial" w:cs="Arial"/>
          <w:b/>
          <w:bCs/>
          <w:sz w:val="22"/>
          <w:szCs w:val="22"/>
        </w:rPr>
      </w:pPr>
    </w:p>
    <w:p w14:paraId="545F5868" w14:textId="0E5E6F04" w:rsidR="00687639" w:rsidRDefault="00687639">
      <w:pPr>
        <w:rPr>
          <w:rFonts w:ascii="Arial" w:hAnsi="Arial" w:cs="Arial"/>
          <w:b/>
          <w:bCs/>
          <w:sz w:val="22"/>
          <w:szCs w:val="22"/>
        </w:rPr>
      </w:pPr>
      <w:r>
        <w:rPr>
          <w:rFonts w:ascii="Arial" w:hAnsi="Arial" w:cs="Arial"/>
          <w:b/>
          <w:bCs/>
          <w:sz w:val="22"/>
          <w:szCs w:val="22"/>
        </w:rPr>
        <w:lastRenderedPageBreak/>
        <w:t xml:space="preserve">Figure 1: Impact of vitamin C infusion on glucometer readings (Libre 2) </w:t>
      </w:r>
    </w:p>
    <w:p w14:paraId="01FF04D5" w14:textId="77777777" w:rsidR="00687639" w:rsidRDefault="00687639">
      <w:pPr>
        <w:rPr>
          <w:rFonts w:ascii="Arial" w:hAnsi="Arial" w:cs="Arial"/>
          <w:b/>
          <w:bCs/>
          <w:sz w:val="22"/>
          <w:szCs w:val="22"/>
        </w:rPr>
      </w:pPr>
    </w:p>
    <w:p w14:paraId="6B3C21CB" w14:textId="557DC835" w:rsidR="00687639" w:rsidRDefault="00780C7C" w:rsidP="00687639">
      <w:pPr>
        <w:jc w:val="center"/>
        <w:rPr>
          <w:rFonts w:ascii="Arial" w:hAnsi="Arial" w:cs="Arial"/>
          <w:b/>
          <w:bCs/>
          <w:sz w:val="22"/>
          <w:szCs w:val="22"/>
        </w:rPr>
      </w:pPr>
      <w:r>
        <w:rPr>
          <w:rFonts w:ascii="Arial" w:hAnsi="Arial" w:cs="Arial"/>
          <w:b/>
          <w:bCs/>
          <w:noProof/>
          <w:sz w:val="22"/>
          <w:szCs w:val="22"/>
        </w:rPr>
        <w:drawing>
          <wp:inline distT="0" distB="0" distL="0" distR="0" wp14:anchorId="42CA479C" wp14:editId="557686A6">
            <wp:extent cx="3009900" cy="4216400"/>
            <wp:effectExtent l="0" t="0" r="0" b="0"/>
            <wp:docPr id="2047471330" name="Picture 5" descr="A graph sho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71330" name="Picture 5" descr="A graph showing a lin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009900" cy="4216400"/>
                    </a:xfrm>
                    <a:prstGeom prst="rect">
                      <a:avLst/>
                    </a:prstGeom>
                  </pic:spPr>
                </pic:pic>
              </a:graphicData>
            </a:graphic>
          </wp:inline>
        </w:drawing>
      </w:r>
    </w:p>
    <w:p w14:paraId="1F835A03" w14:textId="77777777" w:rsidR="00687639" w:rsidRDefault="00687639">
      <w:pPr>
        <w:rPr>
          <w:rFonts w:ascii="Arial" w:hAnsi="Arial" w:cs="Arial"/>
          <w:b/>
          <w:bCs/>
          <w:sz w:val="22"/>
          <w:szCs w:val="22"/>
        </w:rPr>
      </w:pPr>
    </w:p>
    <w:p w14:paraId="229DC6C8" w14:textId="2D8C77E6" w:rsidR="00687639" w:rsidRDefault="00687639" w:rsidP="00687639">
      <w:pPr>
        <w:rPr>
          <w:rFonts w:ascii="Arial" w:hAnsi="Arial" w:cs="Arial"/>
          <w:b/>
          <w:bCs/>
          <w:sz w:val="22"/>
          <w:szCs w:val="22"/>
        </w:rPr>
      </w:pPr>
      <w:r>
        <w:rPr>
          <w:rFonts w:ascii="Arial" w:hAnsi="Arial" w:cs="Arial"/>
          <w:b/>
          <w:bCs/>
          <w:sz w:val="22"/>
          <w:szCs w:val="22"/>
        </w:rPr>
        <w:t xml:space="preserve">Figure </w:t>
      </w:r>
      <w:r>
        <w:rPr>
          <w:rFonts w:ascii="Arial" w:hAnsi="Arial" w:cs="Arial"/>
          <w:b/>
          <w:bCs/>
          <w:sz w:val="22"/>
          <w:szCs w:val="22"/>
        </w:rPr>
        <w:t>2</w:t>
      </w:r>
      <w:r>
        <w:rPr>
          <w:rFonts w:ascii="Arial" w:hAnsi="Arial" w:cs="Arial"/>
          <w:b/>
          <w:bCs/>
          <w:sz w:val="22"/>
          <w:szCs w:val="22"/>
        </w:rPr>
        <w:t>: Impact of vitamin C infusion on glucometer readings (</w:t>
      </w:r>
      <w:r>
        <w:rPr>
          <w:rFonts w:ascii="Arial" w:hAnsi="Arial" w:cs="Arial"/>
          <w:b/>
          <w:bCs/>
          <w:sz w:val="22"/>
          <w:szCs w:val="22"/>
        </w:rPr>
        <w:t>Dexcom G7</w:t>
      </w:r>
      <w:r>
        <w:rPr>
          <w:rFonts w:ascii="Arial" w:hAnsi="Arial" w:cs="Arial"/>
          <w:b/>
          <w:bCs/>
          <w:sz w:val="22"/>
          <w:szCs w:val="22"/>
        </w:rPr>
        <w:t xml:space="preserve">) </w:t>
      </w:r>
    </w:p>
    <w:p w14:paraId="429F27A3" w14:textId="77777777" w:rsidR="00687639" w:rsidRDefault="00687639">
      <w:pPr>
        <w:rPr>
          <w:rFonts w:ascii="Arial" w:hAnsi="Arial" w:cs="Arial"/>
          <w:b/>
          <w:bCs/>
          <w:sz w:val="22"/>
          <w:szCs w:val="22"/>
        </w:rPr>
      </w:pPr>
    </w:p>
    <w:p w14:paraId="2ABE6656" w14:textId="5098B373" w:rsidR="00687639" w:rsidRDefault="00780C7C" w:rsidP="00687639">
      <w:pPr>
        <w:jc w:val="center"/>
        <w:rPr>
          <w:rFonts w:ascii="Arial" w:hAnsi="Arial" w:cs="Arial"/>
          <w:b/>
          <w:bCs/>
          <w:sz w:val="22"/>
          <w:szCs w:val="22"/>
        </w:rPr>
      </w:pPr>
      <w:r>
        <w:rPr>
          <w:rFonts w:ascii="Arial" w:hAnsi="Arial" w:cs="Arial"/>
          <w:b/>
          <w:bCs/>
          <w:noProof/>
          <w:sz w:val="22"/>
          <w:szCs w:val="22"/>
        </w:rPr>
        <w:drawing>
          <wp:inline distT="0" distB="0" distL="0" distR="0" wp14:anchorId="6BB68FAD" wp14:editId="0D292742">
            <wp:extent cx="2933700" cy="3009900"/>
            <wp:effectExtent l="0" t="0" r="0" b="0"/>
            <wp:docPr id="15976827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82721" name="Picture 1597682721"/>
                    <pic:cNvPicPr/>
                  </pic:nvPicPr>
                  <pic:blipFill>
                    <a:blip r:embed="rId8">
                      <a:extLst>
                        <a:ext uri="{28A0092B-C50C-407E-A947-70E740481C1C}">
                          <a14:useLocalDpi xmlns:a14="http://schemas.microsoft.com/office/drawing/2010/main" val="0"/>
                        </a:ext>
                      </a:extLst>
                    </a:blip>
                    <a:stretch>
                      <a:fillRect/>
                    </a:stretch>
                  </pic:blipFill>
                  <pic:spPr>
                    <a:xfrm>
                      <a:off x="0" y="0"/>
                      <a:ext cx="2933700" cy="3009900"/>
                    </a:xfrm>
                    <a:prstGeom prst="rect">
                      <a:avLst/>
                    </a:prstGeom>
                  </pic:spPr>
                </pic:pic>
              </a:graphicData>
            </a:graphic>
          </wp:inline>
        </w:drawing>
      </w:r>
    </w:p>
    <w:p w14:paraId="38E7F59E" w14:textId="5A1B50F8" w:rsidR="00687639" w:rsidRPr="00687639" w:rsidRDefault="00687639">
      <w:pPr>
        <w:rPr>
          <w:rFonts w:ascii="Arial" w:hAnsi="Arial" w:cs="Arial"/>
          <w:b/>
          <w:bCs/>
        </w:rPr>
      </w:pPr>
      <w:r w:rsidRPr="00687639">
        <w:rPr>
          <w:rFonts w:ascii="Arial" w:hAnsi="Arial" w:cs="Arial"/>
          <w:b/>
          <w:bCs/>
        </w:rPr>
        <w:lastRenderedPageBreak/>
        <w:t xml:space="preserve">REFERENCES: </w:t>
      </w:r>
    </w:p>
    <w:p w14:paraId="62B3BB53" w14:textId="77777777" w:rsidR="00687639" w:rsidRPr="00687639" w:rsidRDefault="00687639" w:rsidP="00687639">
      <w:pPr>
        <w:pStyle w:val="NormalWeb"/>
        <w:rPr>
          <w:rFonts w:ascii="Arial" w:hAnsi="Arial" w:cs="Arial"/>
          <w:color w:val="000000"/>
          <w:sz w:val="20"/>
          <w:szCs w:val="20"/>
        </w:rPr>
      </w:pPr>
      <w:r w:rsidRPr="00687639">
        <w:rPr>
          <w:rFonts w:ascii="Arial" w:hAnsi="Arial" w:cs="Arial"/>
          <w:color w:val="000000"/>
          <w:sz w:val="20"/>
          <w:szCs w:val="20"/>
        </w:rPr>
        <w:t>1. Cho J, Ahn S, Yim J, Cheon Y, Jeong SH, Lee SG, Kim JH. Influence of vitamin C and maltose on the accuracy of three models of glucose meters. Ann Lab Med. 2016 Feb 23;36(3):271–4. doi:10.3343/alm.2016.36.3.271.</w:t>
      </w:r>
    </w:p>
    <w:p w14:paraId="242655FE" w14:textId="77777777" w:rsidR="00687639" w:rsidRPr="00687639" w:rsidRDefault="00687639" w:rsidP="00687639">
      <w:pPr>
        <w:pStyle w:val="NormalWeb"/>
        <w:rPr>
          <w:rFonts w:ascii="Arial" w:hAnsi="Arial" w:cs="Arial"/>
          <w:color w:val="000000"/>
          <w:sz w:val="20"/>
          <w:szCs w:val="20"/>
        </w:rPr>
      </w:pPr>
      <w:r w:rsidRPr="00687639">
        <w:rPr>
          <w:rFonts w:ascii="Arial" w:hAnsi="Arial" w:cs="Arial"/>
          <w:color w:val="000000"/>
          <w:sz w:val="20"/>
          <w:szCs w:val="20"/>
        </w:rPr>
        <w:t>2. Hauss O, Huffman B, Hinzmann R. Drug interference in self-monitoring of blood glucose and the impact on patient safety: we can only guard against what we are looking for. J Diabetes Sci Technol. 2024;18(3):727–32. doi:10.1177/19322968221140420.</w:t>
      </w:r>
    </w:p>
    <w:p w14:paraId="6DBDA7E5" w14:textId="77777777" w:rsidR="00687639" w:rsidRPr="00687639" w:rsidRDefault="00687639" w:rsidP="00687639">
      <w:pPr>
        <w:pStyle w:val="NormalWeb"/>
        <w:rPr>
          <w:rFonts w:ascii="Arial" w:hAnsi="Arial" w:cs="Arial"/>
          <w:color w:val="000000"/>
          <w:sz w:val="20"/>
          <w:szCs w:val="20"/>
        </w:rPr>
      </w:pPr>
      <w:r w:rsidRPr="00687639">
        <w:rPr>
          <w:rFonts w:ascii="Arial" w:hAnsi="Arial" w:cs="Arial"/>
          <w:color w:val="000000"/>
          <w:sz w:val="20"/>
          <w:szCs w:val="20"/>
        </w:rPr>
        <w:t xml:space="preserve">3. </w:t>
      </w:r>
      <w:proofErr w:type="spellStart"/>
      <w:r w:rsidRPr="00687639">
        <w:rPr>
          <w:rFonts w:ascii="Arial" w:hAnsi="Arial" w:cs="Arial"/>
          <w:color w:val="000000"/>
          <w:sz w:val="20"/>
          <w:szCs w:val="20"/>
        </w:rPr>
        <w:t>Orija</w:t>
      </w:r>
      <w:proofErr w:type="spellEnd"/>
      <w:r w:rsidRPr="00687639">
        <w:rPr>
          <w:rFonts w:ascii="Arial" w:hAnsi="Arial" w:cs="Arial"/>
          <w:color w:val="000000"/>
          <w:sz w:val="20"/>
          <w:szCs w:val="20"/>
        </w:rPr>
        <w:t xml:space="preserve"> IB, Zahid SH. </w:t>
      </w:r>
      <w:proofErr w:type="spellStart"/>
      <w:r w:rsidRPr="00687639">
        <w:rPr>
          <w:rFonts w:ascii="Arial" w:hAnsi="Arial" w:cs="Arial"/>
          <w:color w:val="000000"/>
          <w:sz w:val="20"/>
          <w:szCs w:val="20"/>
        </w:rPr>
        <w:t>Pseudohyperglycemia</w:t>
      </w:r>
      <w:proofErr w:type="spellEnd"/>
      <w:r w:rsidRPr="00687639">
        <w:rPr>
          <w:rFonts w:ascii="Arial" w:hAnsi="Arial" w:cs="Arial"/>
          <w:color w:val="000000"/>
          <w:sz w:val="20"/>
          <w:szCs w:val="20"/>
        </w:rPr>
        <w:t xml:space="preserve"> secondary to high-dose intravenous vitamin C managed as diabetic ketoacidosis: an endocrinological catastrophe. AACE Clin Case Rep. </w:t>
      </w:r>
      <w:proofErr w:type="gramStart"/>
      <w:r w:rsidRPr="00687639">
        <w:rPr>
          <w:rFonts w:ascii="Arial" w:hAnsi="Arial" w:cs="Arial"/>
          <w:color w:val="000000"/>
          <w:sz w:val="20"/>
          <w:szCs w:val="20"/>
        </w:rPr>
        <w:t>2021;7:239</w:t>
      </w:r>
      <w:proofErr w:type="gramEnd"/>
      <w:r w:rsidRPr="00687639">
        <w:rPr>
          <w:rFonts w:ascii="Arial" w:hAnsi="Arial" w:cs="Arial"/>
          <w:color w:val="000000"/>
          <w:sz w:val="20"/>
          <w:szCs w:val="20"/>
        </w:rPr>
        <w:t>–42.</w:t>
      </w:r>
    </w:p>
    <w:p w14:paraId="1FDEE5FE" w14:textId="77777777" w:rsidR="00687639" w:rsidRPr="00687639" w:rsidRDefault="00687639" w:rsidP="00687639">
      <w:pPr>
        <w:pStyle w:val="NormalWeb"/>
        <w:rPr>
          <w:rFonts w:ascii="Arial" w:hAnsi="Arial" w:cs="Arial"/>
          <w:color w:val="000000"/>
          <w:sz w:val="20"/>
          <w:szCs w:val="20"/>
        </w:rPr>
      </w:pPr>
      <w:r w:rsidRPr="00687639">
        <w:rPr>
          <w:rFonts w:ascii="Arial" w:hAnsi="Arial" w:cs="Arial"/>
          <w:color w:val="000000"/>
          <w:sz w:val="20"/>
          <w:szCs w:val="20"/>
        </w:rPr>
        <w:t>4. 4. Error-codes | Accu-Chek [Internet]. Accu-chek.com. 2024 [cited 2025 May 16]. Available from: https://www.accu-chek.com/support/products/guide/error-codes</w:t>
      </w:r>
    </w:p>
    <w:p w14:paraId="0623BD66" w14:textId="77777777" w:rsidR="00687639" w:rsidRPr="006C6060" w:rsidRDefault="00687639">
      <w:pPr>
        <w:rPr>
          <w:rFonts w:ascii="Arial" w:hAnsi="Arial" w:cs="Arial"/>
          <w:b/>
          <w:bCs/>
          <w:sz w:val="22"/>
          <w:szCs w:val="22"/>
        </w:rPr>
      </w:pPr>
    </w:p>
    <w:sectPr w:rsidR="00687639" w:rsidRPr="006C6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78B5"/>
    <w:multiLevelType w:val="hybridMultilevel"/>
    <w:tmpl w:val="0FC09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354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60"/>
    <w:rsid w:val="00004BCD"/>
    <w:rsid w:val="00062D2E"/>
    <w:rsid w:val="0022714E"/>
    <w:rsid w:val="00527873"/>
    <w:rsid w:val="00687639"/>
    <w:rsid w:val="006C6060"/>
    <w:rsid w:val="00780C7C"/>
    <w:rsid w:val="009606C4"/>
    <w:rsid w:val="009C78D4"/>
    <w:rsid w:val="009F435A"/>
    <w:rsid w:val="00D10AA8"/>
    <w:rsid w:val="00D342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82"/>
  <w15:chartTrackingRefBased/>
  <w15:docId w15:val="{53C84027-55F8-4749-9EF0-E86D8F14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6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0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0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0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0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6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060"/>
    <w:rPr>
      <w:rFonts w:eastAsiaTheme="majorEastAsia" w:cstheme="majorBidi"/>
      <w:color w:val="272727" w:themeColor="text1" w:themeTint="D8"/>
    </w:rPr>
  </w:style>
  <w:style w:type="paragraph" w:styleId="Title">
    <w:name w:val="Title"/>
    <w:basedOn w:val="Normal"/>
    <w:next w:val="Normal"/>
    <w:link w:val="TitleChar"/>
    <w:uiPriority w:val="10"/>
    <w:qFormat/>
    <w:rsid w:val="006C6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060"/>
    <w:pPr>
      <w:spacing w:before="160"/>
      <w:jc w:val="center"/>
    </w:pPr>
    <w:rPr>
      <w:i/>
      <w:iCs/>
      <w:color w:val="404040" w:themeColor="text1" w:themeTint="BF"/>
    </w:rPr>
  </w:style>
  <w:style w:type="character" w:customStyle="1" w:styleId="QuoteChar">
    <w:name w:val="Quote Char"/>
    <w:basedOn w:val="DefaultParagraphFont"/>
    <w:link w:val="Quote"/>
    <w:uiPriority w:val="29"/>
    <w:rsid w:val="006C6060"/>
    <w:rPr>
      <w:i/>
      <w:iCs/>
      <w:color w:val="404040" w:themeColor="text1" w:themeTint="BF"/>
    </w:rPr>
  </w:style>
  <w:style w:type="paragraph" w:styleId="ListParagraph">
    <w:name w:val="List Paragraph"/>
    <w:basedOn w:val="Normal"/>
    <w:uiPriority w:val="34"/>
    <w:qFormat/>
    <w:rsid w:val="006C6060"/>
    <w:pPr>
      <w:ind w:left="720"/>
      <w:contextualSpacing/>
    </w:pPr>
  </w:style>
  <w:style w:type="character" w:styleId="IntenseEmphasis">
    <w:name w:val="Intense Emphasis"/>
    <w:basedOn w:val="DefaultParagraphFont"/>
    <w:uiPriority w:val="21"/>
    <w:qFormat/>
    <w:rsid w:val="006C6060"/>
    <w:rPr>
      <w:i/>
      <w:iCs/>
      <w:color w:val="0F4761" w:themeColor="accent1" w:themeShade="BF"/>
    </w:rPr>
  </w:style>
  <w:style w:type="paragraph" w:styleId="IntenseQuote">
    <w:name w:val="Intense Quote"/>
    <w:basedOn w:val="Normal"/>
    <w:next w:val="Normal"/>
    <w:link w:val="IntenseQuoteChar"/>
    <w:uiPriority w:val="30"/>
    <w:qFormat/>
    <w:rsid w:val="006C6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060"/>
    <w:rPr>
      <w:i/>
      <w:iCs/>
      <w:color w:val="0F4761" w:themeColor="accent1" w:themeShade="BF"/>
    </w:rPr>
  </w:style>
  <w:style w:type="character" w:styleId="IntenseReference">
    <w:name w:val="Intense Reference"/>
    <w:basedOn w:val="DefaultParagraphFont"/>
    <w:uiPriority w:val="32"/>
    <w:qFormat/>
    <w:rsid w:val="006C6060"/>
    <w:rPr>
      <w:b/>
      <w:bCs/>
      <w:smallCaps/>
      <w:color w:val="0F4761" w:themeColor="accent1" w:themeShade="BF"/>
      <w:spacing w:val="5"/>
    </w:rPr>
  </w:style>
  <w:style w:type="character" w:styleId="Strong">
    <w:name w:val="Strong"/>
    <w:basedOn w:val="DefaultParagraphFont"/>
    <w:uiPriority w:val="22"/>
    <w:qFormat/>
    <w:rsid w:val="006C6060"/>
    <w:rPr>
      <w:b/>
      <w:bCs/>
    </w:rPr>
  </w:style>
  <w:style w:type="paragraph" w:styleId="NormalWeb">
    <w:name w:val="Normal (Web)"/>
    <w:basedOn w:val="Normal"/>
    <w:uiPriority w:val="99"/>
    <w:unhideWhenUsed/>
    <w:rsid w:val="006C60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6C6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FEB845-E8BC-46BC-8CAA-F8FBF64C4097}"/>
</file>

<file path=customXml/itemProps2.xml><?xml version="1.0" encoding="utf-8"?>
<ds:datastoreItem xmlns:ds="http://schemas.openxmlformats.org/officeDocument/2006/customXml" ds:itemID="{92E15EE4-03A2-4D90-9BEE-3029B97FCD9F}"/>
</file>

<file path=customXml/itemProps3.xml><?xml version="1.0" encoding="utf-8"?>
<ds:datastoreItem xmlns:ds="http://schemas.openxmlformats.org/officeDocument/2006/customXml" ds:itemID="{EB16A0C9-772E-492F-874D-CF78B31020F8}"/>
</file>

<file path=docProps/app.xml><?xml version="1.0" encoding="utf-8"?>
<Properties xmlns="http://schemas.openxmlformats.org/officeDocument/2006/extended-properties" xmlns:vt="http://schemas.openxmlformats.org/officeDocument/2006/docPropsVTypes">
  <Template>Normal.dotm</Template>
  <TotalTime>3</TotalTime>
  <Pages>4</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Cate</dc:creator>
  <cp:keywords/>
  <dc:description/>
  <cp:lastModifiedBy>Willis, Cate</cp:lastModifiedBy>
  <cp:revision>3</cp:revision>
  <cp:lastPrinted>2026-04-09T14:39:00Z</cp:lastPrinted>
  <dcterms:created xsi:type="dcterms:W3CDTF">2026-04-09T14:39:00Z</dcterms:created>
  <dcterms:modified xsi:type="dcterms:W3CDTF">2026-04-09T14:52:00Z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