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1564A4" w:rsidRPr="00F90570" w14:paraId="5C38377B" w14:textId="77777777" w:rsidTr="009270CB">
        <w:trPr>
          <w:trHeight w:val="315"/>
          <w:jc w:val="center"/>
        </w:trPr>
        <w:tc>
          <w:tcPr>
            <w:tcW w:w="8680" w:type="dxa"/>
            <w:shd w:val="clear" w:color="auto" w:fill="auto"/>
          </w:tcPr>
          <w:p w14:paraId="5C44F357" w14:textId="246F1A85" w:rsidR="001564A4" w:rsidRPr="00F90570" w:rsidRDefault="002455DB" w:rsidP="000D4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ILD registry gives new insights into the spectrum of disease in Australasia</w:t>
            </w:r>
          </w:p>
        </w:tc>
      </w:tr>
      <w:tr w:rsidR="000D4A78" w:rsidRPr="00F90570" w14:paraId="0E2E035C" w14:textId="77777777" w:rsidTr="009270CB">
        <w:trPr>
          <w:trHeight w:val="1754"/>
          <w:jc w:val="center"/>
        </w:trPr>
        <w:tc>
          <w:tcPr>
            <w:tcW w:w="8680" w:type="dxa"/>
            <w:shd w:val="clear" w:color="auto" w:fill="auto"/>
          </w:tcPr>
          <w:p w14:paraId="73B55295" w14:textId="5696D409" w:rsidR="000D4A78" w:rsidRPr="00F90570" w:rsidRDefault="000D4A78" w:rsidP="000D4A78">
            <w:pPr>
              <w:spacing w:before="120" w:after="120"/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</w:pP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Irene Moore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Hayley Barnes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2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Ian Glaspole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2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 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M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argaret Wilsher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3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Sally de Boer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3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Jeremy Wrobel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4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 Yuben Moodley</w:t>
            </w:r>
            <w:r w:rsidRPr="00F90570">
              <w:rPr>
                <w:rFonts w:ascii="Arial" w:hAnsi="Arial" w:cs="Arial"/>
                <w:color w:val="242424"/>
                <w:sz w:val="22"/>
                <w:szCs w:val="22"/>
                <w:vertAlign w:val="superscript"/>
                <w:lang w:eastAsia="en-AU"/>
              </w:rPr>
              <w:t>4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 Francis T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h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ien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5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Henry Gallagher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6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Michelle Galbraith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6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Daniel Chambers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7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John Mackintosh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7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 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Nicole Goh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8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Yet Khor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8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Adrienne Edwards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9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Karen Royals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10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Chris Grainge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Benjamin Kwan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2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Greg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ory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 Keir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3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Chong Ong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4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Paul Reynolds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5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 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Elizabeth Veitch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16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Alan Teoh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17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 Jason D’Costa</w:t>
            </w:r>
            <w:r w:rsidRPr="00F90570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18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Eli Gabbay</w:t>
            </w:r>
            <w:r w:rsidRPr="00F90570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19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Fiona Lake</w:t>
            </w:r>
            <w:r w:rsidRPr="00F90570">
              <w:rPr>
                <w:rFonts w:ascii="Arial" w:hAnsi="Arial" w:cs="Arial"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20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val="en-US" w:eastAsia="en-AU"/>
              </w:rPr>
              <w:t> </w:t>
            </w:r>
            <w:r w:rsidRPr="00F90570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L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auren Troy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21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, Tamera Corte</w:t>
            </w:r>
            <w:r w:rsidRPr="00F90570">
              <w:rPr>
                <w:rFonts w:ascii="Arial" w:hAnsi="Arial" w:cs="Arial"/>
                <w:color w:val="222222"/>
                <w:sz w:val="22"/>
                <w:szCs w:val="22"/>
                <w:bdr w:val="none" w:sz="0" w:space="0" w:color="auto" w:frame="1"/>
                <w:shd w:val="clear" w:color="auto" w:fill="FFFFFF"/>
                <w:vertAlign w:val="superscript"/>
                <w:lang w:eastAsia="en-AU"/>
              </w:rPr>
              <w:t>21</w:t>
            </w:r>
          </w:p>
        </w:tc>
      </w:tr>
      <w:tr w:rsidR="000D4A78" w:rsidRPr="00F90570" w14:paraId="385A19D9" w14:textId="77777777" w:rsidTr="009270CB">
        <w:trPr>
          <w:trHeight w:val="188"/>
          <w:jc w:val="center"/>
        </w:trPr>
        <w:tc>
          <w:tcPr>
            <w:tcW w:w="8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ED36BF" w14:textId="76BE8F09" w:rsidR="000D4A78" w:rsidRPr="008D2753" w:rsidRDefault="000D4A78" w:rsidP="000D4A78">
            <w:pPr>
              <w:spacing w:before="120" w:after="120"/>
              <w:rPr>
                <w:rFonts w:ascii="Arial" w:hAnsi="Arial" w:cs="Arial"/>
                <w:i/>
                <w:iCs/>
                <w:sz w:val="22"/>
                <w:szCs w:val="22"/>
                <w:lang w:val="en-US" w:eastAsia="en-GB"/>
              </w:rPr>
            </w:pP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Royal Perth Hospital, WA,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2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 xml:space="preserve">Alfred Hospital, VIC, 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 3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Auckland City Hospital, NZ,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4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Fiona Stanley Hospital, WA,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5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Eastern Health Box Hill Hospital, VIC,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6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Waikato Hospital, NZ,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7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The Prince Charles Hospital, QLD,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8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The Austin Hospital, VIC,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9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Christchurch Hospital, NZ,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10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Queen Elizabeth Hospital, SA,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11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John Hunter Hospital, NSW,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12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Sutherland Hospital, NSW,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13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Princess Alexandra Hospital, QLD,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14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St Vincent’s Hospital Melbourne, VIC,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15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Royal Adelaide Hospital, SA,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16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Concord Hospital, NSW, 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17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Westmead Hospital, NSW,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18</w:t>
            </w:r>
            <w:r w:rsidRPr="008D2753">
              <w:rPr>
                <w:rFonts w:ascii="Arial" w:hAnsi="Arial" w:cs="Arial"/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eastAsia="en-AU"/>
              </w:rPr>
              <w:t>Flinders Medical Centre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,</w:t>
            </w:r>
            <w:r w:rsidR="00BA31AA"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 xml:space="preserve"> SA, 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19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St John of God Subiaco Hospital,</w:t>
            </w:r>
            <w:r w:rsidR="00BA31AA"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 xml:space="preserve"> WA, 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20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Sir Charles Gairdner Hospital,</w:t>
            </w:r>
            <w:r w:rsidR="00BA31AA"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 xml:space="preserve"> WA,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 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vertAlign w:val="superscript"/>
                <w:lang w:val="en-US" w:eastAsia="en-AU"/>
              </w:rPr>
              <w:t>21</w:t>
            </w:r>
            <w:r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Royal Prince Alfred Hospital</w:t>
            </w:r>
            <w:r w:rsidR="00BA31AA" w:rsidRPr="008D2753">
              <w:rPr>
                <w:rFonts w:ascii="Arial" w:hAnsi="Arial" w:cs="Arial"/>
                <w:i/>
                <w:iCs/>
                <w:color w:val="242424"/>
                <w:sz w:val="22"/>
                <w:szCs w:val="22"/>
                <w:bdr w:val="none" w:sz="0" w:space="0" w:color="auto" w:frame="1"/>
                <w:lang w:val="en-US" w:eastAsia="en-AU"/>
              </w:rPr>
              <w:t>, NSW</w:t>
            </w:r>
          </w:p>
        </w:tc>
      </w:tr>
      <w:tr w:rsidR="000D4A78" w:rsidRPr="00F90570" w14:paraId="6DAF615A" w14:textId="77777777" w:rsidTr="009270CB">
        <w:trPr>
          <w:trHeight w:hRule="exact" w:val="10228"/>
          <w:jc w:val="center"/>
        </w:trPr>
        <w:tc>
          <w:tcPr>
            <w:tcW w:w="8680" w:type="dxa"/>
            <w:shd w:val="clear" w:color="auto" w:fill="auto"/>
          </w:tcPr>
          <w:p w14:paraId="739E7937" w14:textId="77777777" w:rsidR="000D4A78" w:rsidRPr="00F90570" w:rsidRDefault="000D4A78" w:rsidP="000D4A78">
            <w:pPr>
              <w:pStyle w:val="Pa12"/>
              <w:rPr>
                <w:rStyle w:val="A4"/>
              </w:rPr>
            </w:pPr>
            <w:r w:rsidRPr="00F90570">
              <w:rPr>
                <w:rStyle w:val="A4"/>
                <w:b/>
                <w:bCs/>
              </w:rPr>
              <w:lastRenderedPageBreak/>
              <w:t xml:space="preserve">Introduction/Aim: </w:t>
            </w:r>
          </w:p>
          <w:p w14:paraId="26316958" w14:textId="26E2DDB4" w:rsidR="00BA31AA" w:rsidRPr="00F90570" w:rsidRDefault="00BA31AA" w:rsidP="00BA31AA">
            <w:pPr>
              <w:rPr>
                <w:rFonts w:ascii="Arial" w:hAnsi="Arial" w:cs="Arial"/>
                <w:sz w:val="22"/>
                <w:szCs w:val="22"/>
              </w:rPr>
            </w:pPr>
            <w:r w:rsidRPr="00F90570">
              <w:rPr>
                <w:rFonts w:ascii="Arial" w:hAnsi="Arial" w:cs="Arial"/>
                <w:sz w:val="22"/>
                <w:szCs w:val="22"/>
              </w:rPr>
              <w:t xml:space="preserve">The AILDR is a prospective database collecting </w:t>
            </w:r>
            <w:r w:rsidR="00611032">
              <w:rPr>
                <w:rFonts w:ascii="Arial" w:hAnsi="Arial" w:cs="Arial"/>
                <w:sz w:val="22"/>
                <w:szCs w:val="22"/>
              </w:rPr>
              <w:t xml:space="preserve">clinical </w:t>
            </w:r>
            <w:r w:rsidRPr="00F90570">
              <w:rPr>
                <w:rFonts w:ascii="Arial" w:hAnsi="Arial" w:cs="Arial"/>
                <w:sz w:val="22"/>
                <w:szCs w:val="22"/>
              </w:rPr>
              <w:t>data</w:t>
            </w:r>
            <w:r w:rsidR="0061103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1032">
              <w:rPr>
                <w:rFonts w:ascii="Arial" w:hAnsi="Arial" w:cs="Arial"/>
                <w:sz w:val="22"/>
                <w:szCs w:val="22"/>
              </w:rPr>
              <w:t xml:space="preserve">outcome measures </w:t>
            </w:r>
            <w:r w:rsidRPr="00F90570">
              <w:rPr>
                <w:rFonts w:ascii="Arial" w:hAnsi="Arial" w:cs="Arial"/>
                <w:sz w:val="22"/>
                <w:szCs w:val="22"/>
              </w:rPr>
              <w:t>of participants with interstitial lung disease (ILD) across Australia and New Zealand</w:t>
            </w:r>
            <w:r w:rsidR="00346BC1">
              <w:rPr>
                <w:rFonts w:ascii="Arial" w:hAnsi="Arial" w:cs="Arial"/>
                <w:sz w:val="22"/>
                <w:szCs w:val="22"/>
              </w:rPr>
              <w:t xml:space="preserve"> (NZ)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 aiming to improve understanding and standardisation of care across a complex spectrum of disease</w:t>
            </w:r>
            <w:r w:rsidR="00611032">
              <w:rPr>
                <w:rFonts w:ascii="Arial" w:hAnsi="Arial" w:cs="Arial"/>
                <w:sz w:val="22"/>
                <w:szCs w:val="22"/>
              </w:rPr>
              <w:t>s</w:t>
            </w:r>
            <w:r w:rsidRPr="00F90570">
              <w:rPr>
                <w:rFonts w:ascii="Arial" w:hAnsi="Arial" w:cs="Arial"/>
                <w:sz w:val="22"/>
                <w:szCs w:val="22"/>
              </w:rPr>
              <w:t>.</w:t>
            </w:r>
            <w:r w:rsidR="00611032">
              <w:rPr>
                <w:rFonts w:ascii="Arial" w:hAnsi="Arial" w:cs="Arial"/>
                <w:sz w:val="22"/>
                <w:szCs w:val="22"/>
              </w:rPr>
              <w:t xml:space="preserve"> We report the spectrum of diseases across </w:t>
            </w:r>
            <w:r w:rsidR="00BE16D5">
              <w:rPr>
                <w:rFonts w:ascii="Arial" w:hAnsi="Arial" w:cs="Arial"/>
                <w:sz w:val="22"/>
                <w:szCs w:val="22"/>
              </w:rPr>
              <w:t>regions</w:t>
            </w:r>
            <w:r w:rsidR="00611032">
              <w:rPr>
                <w:rFonts w:ascii="Arial" w:hAnsi="Arial" w:cs="Arial"/>
                <w:sz w:val="22"/>
                <w:szCs w:val="22"/>
              </w:rPr>
              <w:t xml:space="preserve"> and the prevalence of antifibrotic use.</w:t>
            </w:r>
          </w:p>
          <w:p w14:paraId="1B39336E" w14:textId="77777777" w:rsidR="000D4A78" w:rsidRPr="00F90570" w:rsidRDefault="000D4A78" w:rsidP="000D4A78">
            <w:pPr>
              <w:pStyle w:val="Pa12"/>
              <w:rPr>
                <w:rStyle w:val="A4"/>
                <w:b/>
                <w:bCs/>
              </w:rPr>
            </w:pPr>
            <w:r w:rsidRPr="00F90570">
              <w:rPr>
                <w:rStyle w:val="A4"/>
                <w:b/>
                <w:bCs/>
              </w:rPr>
              <w:t xml:space="preserve">Methods: </w:t>
            </w:r>
          </w:p>
          <w:p w14:paraId="281E75E7" w14:textId="0475CF07" w:rsidR="00BA31AA" w:rsidRPr="00F90570" w:rsidRDefault="00BA31AA" w:rsidP="00BA31AA">
            <w:pPr>
              <w:rPr>
                <w:rFonts w:ascii="Arial" w:hAnsi="Arial" w:cs="Arial"/>
                <w:sz w:val="22"/>
                <w:szCs w:val="22"/>
              </w:rPr>
            </w:pPr>
            <w:r w:rsidRPr="00F90570">
              <w:rPr>
                <w:rFonts w:ascii="Arial" w:hAnsi="Arial" w:cs="Arial"/>
                <w:sz w:val="22"/>
                <w:szCs w:val="22"/>
              </w:rPr>
              <w:t>Participants attending any</w:t>
            </w:r>
            <w:r w:rsidR="00C77B95">
              <w:rPr>
                <w:rFonts w:ascii="Arial" w:hAnsi="Arial" w:cs="Arial"/>
                <w:sz w:val="22"/>
                <w:szCs w:val="22"/>
              </w:rPr>
              <w:t xml:space="preserve"> of the 22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 registered ILD site</w:t>
            </w:r>
            <w:r w:rsidR="00C77B95">
              <w:rPr>
                <w:rFonts w:ascii="Arial" w:hAnsi="Arial" w:cs="Arial"/>
                <w:sz w:val="22"/>
                <w:szCs w:val="22"/>
              </w:rPr>
              <w:t>s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 with a</w:t>
            </w:r>
            <w:r w:rsidR="003672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0570">
              <w:rPr>
                <w:rFonts w:ascii="Arial" w:hAnsi="Arial" w:cs="Arial"/>
                <w:sz w:val="22"/>
                <w:szCs w:val="22"/>
              </w:rPr>
              <w:t>diagnosis</w:t>
            </w:r>
            <w:r w:rsidR="0036726B">
              <w:rPr>
                <w:rFonts w:ascii="Arial" w:hAnsi="Arial" w:cs="Arial"/>
                <w:sz w:val="22"/>
                <w:szCs w:val="22"/>
              </w:rPr>
              <w:t xml:space="preserve"> of any ILD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 were invited to join the registry. Comprehensive baseline and longitudinal data including demographics, ILD diagnosis, objective functional testing, treatments and mortality are stored on a secure online platform. Data since registry </w:t>
            </w:r>
            <w:r w:rsidR="00611032">
              <w:rPr>
                <w:rFonts w:ascii="Arial" w:hAnsi="Arial" w:cs="Arial"/>
                <w:sz w:val="22"/>
                <w:szCs w:val="22"/>
              </w:rPr>
              <w:t>inception</w:t>
            </w:r>
            <w:r w:rsidR="00611032" w:rsidRPr="00F905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in May 2016 to August 2023 inclusive has been analysed. </w:t>
            </w:r>
          </w:p>
          <w:p w14:paraId="6BF3F094" w14:textId="77777777" w:rsidR="000D4A78" w:rsidRPr="00F90570" w:rsidRDefault="000D4A78" w:rsidP="000D4A78">
            <w:pPr>
              <w:pStyle w:val="Pa12"/>
              <w:rPr>
                <w:rStyle w:val="A4"/>
                <w:b/>
                <w:bCs/>
              </w:rPr>
            </w:pPr>
            <w:r w:rsidRPr="00F90570">
              <w:rPr>
                <w:rStyle w:val="A4"/>
                <w:b/>
                <w:bCs/>
              </w:rPr>
              <w:t xml:space="preserve">Results: </w:t>
            </w:r>
          </w:p>
          <w:p w14:paraId="1597D58A" w14:textId="2936C50C" w:rsidR="00BA31AA" w:rsidRPr="00F90570" w:rsidRDefault="00BA31AA" w:rsidP="00BA31AA">
            <w:pPr>
              <w:rPr>
                <w:rFonts w:ascii="Arial" w:hAnsi="Arial" w:cs="Arial"/>
                <w:sz w:val="22"/>
                <w:szCs w:val="22"/>
              </w:rPr>
            </w:pPr>
            <w:r w:rsidRPr="00F90570">
              <w:rPr>
                <w:rFonts w:ascii="Arial" w:hAnsi="Arial" w:cs="Arial"/>
                <w:sz w:val="22"/>
                <w:szCs w:val="22"/>
              </w:rPr>
              <w:t>A total of 3193 participants were included (mean age 67.2±13 years; 1820 (57%) male; 2484 (77.8%) Caucasian; BMI 29.3±5.9 kg/m</w:t>
            </w:r>
            <w:r w:rsidRPr="00F9057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F90570">
              <w:rPr>
                <w:rFonts w:ascii="Arial" w:hAnsi="Arial" w:cs="Arial"/>
                <w:sz w:val="22"/>
                <w:szCs w:val="22"/>
              </w:rPr>
              <w:t>; 1564 (49%) ever smokers</w:t>
            </w:r>
            <w:r w:rsidR="007144F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31614F" w14:textId="6DC587A5" w:rsidR="008F5E44" w:rsidRDefault="00BA31AA" w:rsidP="00BA31AA">
            <w:pPr>
              <w:rPr>
                <w:rFonts w:ascii="Arial" w:hAnsi="Arial" w:cs="Arial"/>
                <w:sz w:val="22"/>
                <w:szCs w:val="22"/>
              </w:rPr>
            </w:pPr>
            <w:r w:rsidRPr="00F90570">
              <w:rPr>
                <w:rFonts w:ascii="Arial" w:hAnsi="Arial" w:cs="Arial"/>
                <w:sz w:val="22"/>
                <w:szCs w:val="22"/>
              </w:rPr>
              <w:t xml:space="preserve">Top 5 diagnoses were </w:t>
            </w:r>
            <w:r w:rsidR="00164E57">
              <w:rPr>
                <w:rFonts w:ascii="Arial" w:hAnsi="Arial" w:cs="Arial"/>
                <w:sz w:val="22"/>
                <w:szCs w:val="22"/>
              </w:rPr>
              <w:t>idiopathic pulmonary fibrosis</w:t>
            </w:r>
            <w:r w:rsidR="00A06433">
              <w:rPr>
                <w:rFonts w:ascii="Arial" w:hAnsi="Arial" w:cs="Arial"/>
                <w:sz w:val="22"/>
                <w:szCs w:val="22"/>
              </w:rPr>
              <w:t>, IPF</w:t>
            </w:r>
            <w:r w:rsidR="00720D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(29.3%), </w:t>
            </w:r>
            <w:r w:rsidR="00164E57">
              <w:rPr>
                <w:rFonts w:ascii="Arial" w:hAnsi="Arial" w:cs="Arial"/>
                <w:sz w:val="22"/>
                <w:szCs w:val="22"/>
              </w:rPr>
              <w:t>connective tissue disease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-ILD (16%), unclassifiable (11.2%), </w:t>
            </w:r>
            <w:r w:rsidR="00130EC9">
              <w:rPr>
                <w:rFonts w:ascii="Arial" w:hAnsi="Arial" w:cs="Arial"/>
                <w:sz w:val="22"/>
                <w:szCs w:val="22"/>
              </w:rPr>
              <w:t>chronic hypersensitivity pneumonitis</w:t>
            </w:r>
            <w:r w:rsidR="00A06433">
              <w:rPr>
                <w:rFonts w:ascii="Arial" w:hAnsi="Arial" w:cs="Arial"/>
                <w:sz w:val="22"/>
                <w:szCs w:val="22"/>
              </w:rPr>
              <w:t>, CHP</w:t>
            </w:r>
            <w:r w:rsidR="0035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0570">
              <w:rPr>
                <w:rFonts w:ascii="Arial" w:hAnsi="Arial" w:cs="Arial"/>
                <w:sz w:val="22"/>
                <w:szCs w:val="22"/>
              </w:rPr>
              <w:t>(8.7%) and sarcoidosis (6.3%).</w:t>
            </w:r>
            <w:r w:rsidR="000B0E76">
              <w:rPr>
                <w:rFonts w:ascii="Arial" w:hAnsi="Arial" w:cs="Arial"/>
                <w:sz w:val="22"/>
                <w:szCs w:val="22"/>
              </w:rPr>
              <w:t xml:space="preserve"> Baseline </w:t>
            </w:r>
            <w:r w:rsidR="00D7546A">
              <w:rPr>
                <w:rFonts w:ascii="Arial" w:hAnsi="Arial" w:cs="Arial"/>
                <w:sz w:val="22"/>
                <w:szCs w:val="22"/>
              </w:rPr>
              <w:t>lung function</w:t>
            </w:r>
            <w:r w:rsidR="000B0E76">
              <w:rPr>
                <w:rFonts w:ascii="Arial" w:hAnsi="Arial" w:cs="Arial"/>
                <w:sz w:val="22"/>
                <w:szCs w:val="22"/>
              </w:rPr>
              <w:t xml:space="preserve"> across regions is summarised in Table 1.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20D8D3F" w14:textId="762C6FB5" w:rsidR="00BA31AA" w:rsidRPr="00F90570" w:rsidRDefault="0003333C" w:rsidP="00BA3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Within the registry cohort, </w:t>
            </w:r>
            <w:r w:rsidR="00B26199">
              <w:rPr>
                <w:rFonts w:ascii="Arial" w:hAnsi="Arial" w:cs="Arial"/>
                <w:sz w:val="22"/>
                <w:szCs w:val="22"/>
              </w:rPr>
              <w:t>a diagnosis of IPF</w:t>
            </w:r>
            <w:r w:rsidR="00E959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0391">
              <w:rPr>
                <w:rFonts w:ascii="Arial" w:hAnsi="Arial" w:cs="Arial"/>
                <w:sz w:val="22"/>
                <w:szCs w:val="22"/>
              </w:rPr>
              <w:t>wa</w:t>
            </w:r>
            <w:r w:rsidR="00E959AD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482389">
              <w:rPr>
                <w:rFonts w:ascii="Arial" w:hAnsi="Arial" w:cs="Arial"/>
                <w:sz w:val="22"/>
                <w:szCs w:val="22"/>
              </w:rPr>
              <w:t>m</w:t>
            </w:r>
            <w:r w:rsidR="00F847CA">
              <w:rPr>
                <w:rFonts w:ascii="Arial" w:hAnsi="Arial" w:cs="Arial"/>
                <w:sz w:val="22"/>
                <w:szCs w:val="22"/>
              </w:rPr>
              <w:t>ore likely</w:t>
            </w:r>
            <w:r w:rsidR="00482389">
              <w:rPr>
                <w:rFonts w:ascii="Arial" w:hAnsi="Arial" w:cs="Arial"/>
                <w:sz w:val="22"/>
                <w:szCs w:val="22"/>
              </w:rPr>
              <w:t xml:space="preserve"> in NSW, QLD, VIC</w:t>
            </w:r>
            <w:r w:rsidR="0022215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82389">
              <w:rPr>
                <w:rFonts w:ascii="Arial" w:hAnsi="Arial" w:cs="Arial"/>
                <w:sz w:val="22"/>
                <w:szCs w:val="22"/>
              </w:rPr>
              <w:t xml:space="preserve">SA and NZ compared to </w:t>
            </w:r>
            <w:r w:rsidR="00BA31AA" w:rsidRPr="00F90570">
              <w:rPr>
                <w:rFonts w:ascii="Arial" w:hAnsi="Arial" w:cs="Arial"/>
                <w:sz w:val="22"/>
                <w:szCs w:val="22"/>
              </w:rPr>
              <w:t>WA (OR 1.9272, 95% CI 1.4580 to 2.5475, P &lt; 0.0001) and sarcoid</w:t>
            </w:r>
            <w:r w:rsidR="000C40ED">
              <w:rPr>
                <w:rFonts w:ascii="Arial" w:hAnsi="Arial" w:cs="Arial"/>
                <w:sz w:val="22"/>
                <w:szCs w:val="22"/>
              </w:rPr>
              <w:t>osis</w:t>
            </w:r>
            <w:r w:rsidR="00BA31AA" w:rsidRPr="00F90570">
              <w:rPr>
                <w:rFonts w:ascii="Arial" w:hAnsi="Arial" w:cs="Arial"/>
                <w:sz w:val="22"/>
                <w:szCs w:val="22"/>
              </w:rPr>
              <w:t xml:space="preserve"> similarly more </w:t>
            </w:r>
            <w:r w:rsidR="00DC4B94">
              <w:rPr>
                <w:rFonts w:ascii="Arial" w:hAnsi="Arial" w:cs="Arial"/>
                <w:sz w:val="22"/>
                <w:szCs w:val="22"/>
              </w:rPr>
              <w:t>likely</w:t>
            </w:r>
            <w:r w:rsidR="00BA31AA" w:rsidRPr="00F90570">
              <w:rPr>
                <w:rFonts w:ascii="Arial" w:hAnsi="Arial" w:cs="Arial"/>
                <w:sz w:val="22"/>
                <w:szCs w:val="22"/>
              </w:rPr>
              <w:t xml:space="preserve"> in N</w:t>
            </w:r>
            <w:r w:rsidR="00346BC1">
              <w:rPr>
                <w:rFonts w:ascii="Arial" w:hAnsi="Arial" w:cs="Arial"/>
                <w:sz w:val="22"/>
                <w:szCs w:val="22"/>
              </w:rPr>
              <w:t>Z</w:t>
            </w:r>
            <w:r w:rsidR="00BA31AA" w:rsidRPr="00F90570">
              <w:rPr>
                <w:rFonts w:ascii="Arial" w:hAnsi="Arial" w:cs="Arial"/>
                <w:sz w:val="22"/>
                <w:szCs w:val="22"/>
              </w:rPr>
              <w:t xml:space="preserve"> and WA compared to elsewhere (OR 2.753, 95% CI 2.0547 to 3.6887, P &lt; 0.0001).</w:t>
            </w:r>
          </w:p>
          <w:p w14:paraId="3CF0A033" w14:textId="5E1DF907" w:rsidR="00BA31AA" w:rsidRPr="00F90570" w:rsidRDefault="00BA31AA" w:rsidP="00BA31AA">
            <w:pPr>
              <w:rPr>
                <w:rFonts w:ascii="Arial" w:hAnsi="Arial" w:cs="Arial"/>
                <w:sz w:val="22"/>
                <w:szCs w:val="22"/>
              </w:rPr>
            </w:pPr>
            <w:r w:rsidRPr="00F90570">
              <w:rPr>
                <w:rFonts w:ascii="Arial" w:hAnsi="Arial" w:cs="Arial"/>
                <w:sz w:val="22"/>
                <w:szCs w:val="22"/>
              </w:rPr>
              <w:t>Antifibrotic use</w:t>
            </w:r>
            <w:r w:rsidR="00221AE6">
              <w:rPr>
                <w:rFonts w:ascii="Arial" w:hAnsi="Arial" w:cs="Arial"/>
                <w:sz w:val="22"/>
                <w:szCs w:val="22"/>
              </w:rPr>
              <w:t xml:space="preserve"> in</w:t>
            </w:r>
            <w:r w:rsidR="000F08B9">
              <w:rPr>
                <w:rFonts w:ascii="Arial" w:hAnsi="Arial" w:cs="Arial"/>
                <w:sz w:val="22"/>
                <w:szCs w:val="22"/>
              </w:rPr>
              <w:t>volved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 19.6%</w:t>
            </w:r>
            <w:r w:rsidR="00A479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08B9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F90570">
              <w:rPr>
                <w:rFonts w:ascii="Arial" w:hAnsi="Arial" w:cs="Arial"/>
                <w:sz w:val="22"/>
                <w:szCs w:val="22"/>
              </w:rPr>
              <w:t>participants; indication</w:t>
            </w:r>
            <w:r w:rsidR="00455BC3">
              <w:rPr>
                <w:rFonts w:ascii="Arial" w:hAnsi="Arial" w:cs="Arial"/>
                <w:sz w:val="22"/>
                <w:szCs w:val="22"/>
              </w:rPr>
              <w:t>s included</w:t>
            </w:r>
            <w:r w:rsidRPr="00F90570">
              <w:rPr>
                <w:rFonts w:ascii="Arial" w:hAnsi="Arial" w:cs="Arial"/>
                <w:sz w:val="22"/>
                <w:szCs w:val="22"/>
              </w:rPr>
              <w:t xml:space="preserve"> IPF (76.5%) and progressive fibrosing ILD, PF-ILD (23.5%).  Of the PF-ILD anti-fibrotic cohort, unclassifiable ILD was the most common diagnosis (31.3%), followed by </w:t>
            </w:r>
            <w:r w:rsidR="001E2AAB">
              <w:rPr>
                <w:rFonts w:ascii="Arial" w:hAnsi="Arial" w:cs="Arial"/>
                <w:sz w:val="22"/>
                <w:szCs w:val="22"/>
              </w:rPr>
              <w:t>connective tissue disease</w:t>
            </w:r>
            <w:r w:rsidRPr="00F90570">
              <w:rPr>
                <w:rFonts w:ascii="Arial" w:hAnsi="Arial" w:cs="Arial"/>
                <w:sz w:val="22"/>
                <w:szCs w:val="22"/>
              </w:rPr>
              <w:t>-ILD (17%) and CHP (13.6%).</w:t>
            </w:r>
          </w:p>
          <w:p w14:paraId="652F7BE1" w14:textId="500AAB75" w:rsidR="000D4A78" w:rsidRPr="00F90570" w:rsidRDefault="000D4A78" w:rsidP="000D4A78">
            <w:pPr>
              <w:pStyle w:val="Pa12"/>
              <w:rPr>
                <w:rStyle w:val="A4"/>
                <w:color w:val="auto"/>
              </w:rPr>
            </w:pPr>
            <w:r w:rsidRPr="00F90570">
              <w:rPr>
                <w:rStyle w:val="A4"/>
                <w:b/>
                <w:bCs/>
              </w:rPr>
              <w:t xml:space="preserve">Conclusion: </w:t>
            </w:r>
          </w:p>
          <w:p w14:paraId="3E8B4283" w14:textId="4D46A094" w:rsidR="000D4A78" w:rsidRPr="00F90570" w:rsidRDefault="00BE16D5" w:rsidP="000D4A78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This registry data demonstrates regional variation which may </w:t>
            </w:r>
            <w:r w:rsidR="00F74E20">
              <w:rPr>
                <w:sz w:val="22"/>
                <w:szCs w:val="22"/>
              </w:rPr>
              <w:t xml:space="preserve">have many confounding factors including </w:t>
            </w:r>
            <w:r>
              <w:rPr>
                <w:sz w:val="22"/>
                <w:szCs w:val="22"/>
              </w:rPr>
              <w:t>varying ILD prevalence, differences in health care delivery and clinical decision making.  Further research is required to assist with standardisation of ILD health care delivery.</w:t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9FAEE6F" w:rsidR="000D4A78" w:rsidRPr="00F90570" w:rsidRDefault="00BA31AA" w:rsidP="000D4A78">
            <w:pPr>
              <w:pStyle w:val="Pa12"/>
              <w:rPr>
                <w:sz w:val="22"/>
                <w:szCs w:val="22"/>
              </w:rPr>
            </w:pPr>
            <w:r w:rsidRPr="00F90570">
              <w:rPr>
                <w:sz w:val="22"/>
                <w:szCs w:val="22"/>
              </w:rPr>
              <w:t>This project was supported by the Centre of Research Excellence in Pulmonary Fibrosis which is funded by the NHMRC (GNT1116371 and GNT2015613), Lung Foundation Australia, Boehringer Ingelheim, and anonymous philanthropy.</w:t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  <w:r w:rsidR="000D4A78" w:rsidRPr="00F90570">
              <w:rPr>
                <w:sz w:val="22"/>
                <w:szCs w:val="22"/>
              </w:rPr>
              <w:br/>
            </w:r>
          </w:p>
          <w:p w14:paraId="731CD908" w14:textId="77777777" w:rsidR="000D4A78" w:rsidRPr="00F90570" w:rsidRDefault="000D4A78" w:rsidP="000D4A78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0D4A78" w:rsidRPr="00F90570" w:rsidRDefault="000D4A78" w:rsidP="000D4A78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0D4A78" w:rsidRPr="00F90570" w:rsidRDefault="000D4A78" w:rsidP="000D4A78">
            <w:pPr>
              <w:pStyle w:val="Pa12"/>
              <w:rPr>
                <w:rStyle w:val="A4"/>
                <w:bCs/>
              </w:rPr>
            </w:pP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  <w:r w:rsidRPr="00F90570">
              <w:rPr>
                <w:rStyle w:val="A4"/>
                <w:bCs/>
              </w:rPr>
              <w:br/>
            </w:r>
          </w:p>
          <w:p w14:paraId="14DC37E4" w14:textId="77777777" w:rsidR="000D4A78" w:rsidRPr="00F90570" w:rsidRDefault="000D4A78" w:rsidP="000D4A78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0D4A78" w:rsidRPr="00F90570" w:rsidRDefault="000D4A78" w:rsidP="000D4A78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  <w:r w:rsidRPr="00F90570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012C3B86" w:rsidR="00D44865" w:rsidRDefault="00D44865" w:rsidP="001564A4"/>
    <w:p w14:paraId="18F4441F" w14:textId="77777777" w:rsidR="00D44865" w:rsidRDefault="00D44865">
      <w:r>
        <w:br w:type="page"/>
      </w:r>
    </w:p>
    <w:p w14:paraId="3AF72D6D" w14:textId="77777777" w:rsidR="00D44865" w:rsidRPr="008A71FC" w:rsidRDefault="00D44865" w:rsidP="00D44865">
      <w:pPr>
        <w:rPr>
          <w:rFonts w:ascii="Arial" w:hAnsi="Arial" w:cs="Arial"/>
          <w:sz w:val="22"/>
          <w:szCs w:val="22"/>
        </w:rPr>
      </w:pPr>
      <w:r w:rsidRPr="008A71FC">
        <w:rPr>
          <w:rFonts w:ascii="Arial" w:hAnsi="Arial" w:cs="Arial"/>
          <w:sz w:val="22"/>
          <w:szCs w:val="22"/>
        </w:rPr>
        <w:lastRenderedPageBreak/>
        <w:t>Table 1. Baseline lung function for Top 5 ILD diagnoses within AILDR according to country and state</w:t>
      </w:r>
    </w:p>
    <w:tbl>
      <w:tblPr>
        <w:tblStyle w:val="TableGrid"/>
        <w:tblW w:w="1052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216"/>
        <w:gridCol w:w="1216"/>
        <w:gridCol w:w="1216"/>
        <w:gridCol w:w="1216"/>
        <w:gridCol w:w="1216"/>
        <w:gridCol w:w="1334"/>
        <w:gridCol w:w="1414"/>
      </w:tblGrid>
      <w:tr w:rsidR="00D44865" w:rsidRPr="00681781" w14:paraId="50684EF4" w14:textId="77777777" w:rsidTr="008003E2">
        <w:tc>
          <w:tcPr>
            <w:tcW w:w="1701" w:type="dxa"/>
            <w:shd w:val="clear" w:color="auto" w:fill="E7E6E6" w:themeFill="background2"/>
          </w:tcPr>
          <w:p w14:paraId="37967B67" w14:textId="77777777" w:rsidR="00D44865" w:rsidRPr="00681781" w:rsidRDefault="00D44865" w:rsidP="00D9174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781">
              <w:rPr>
                <w:rFonts w:ascii="Arial" w:hAnsi="Arial" w:cs="Arial"/>
                <w:b/>
                <w:bCs/>
                <w:sz w:val="22"/>
                <w:szCs w:val="22"/>
              </w:rPr>
              <w:t>Diagnosis</w:t>
            </w:r>
          </w:p>
        </w:tc>
        <w:tc>
          <w:tcPr>
            <w:tcW w:w="6080" w:type="dxa"/>
            <w:gridSpan w:val="5"/>
            <w:shd w:val="clear" w:color="auto" w:fill="E7E6E6" w:themeFill="background2"/>
          </w:tcPr>
          <w:p w14:paraId="2308E454" w14:textId="77777777" w:rsidR="00D44865" w:rsidRPr="00681781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781">
              <w:rPr>
                <w:rFonts w:ascii="Arial" w:hAnsi="Arial" w:cs="Arial"/>
                <w:b/>
                <w:bCs/>
                <w:sz w:val="22"/>
                <w:szCs w:val="22"/>
              </w:rPr>
              <w:t>Australia</w:t>
            </w:r>
          </w:p>
        </w:tc>
        <w:tc>
          <w:tcPr>
            <w:tcW w:w="1334" w:type="dxa"/>
            <w:shd w:val="clear" w:color="auto" w:fill="E7E6E6" w:themeFill="background2"/>
          </w:tcPr>
          <w:p w14:paraId="272C300D" w14:textId="77777777" w:rsidR="00D44865" w:rsidRPr="00681781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781">
              <w:rPr>
                <w:rFonts w:ascii="Arial" w:hAnsi="Arial" w:cs="Arial"/>
                <w:b/>
                <w:bCs/>
                <w:sz w:val="22"/>
                <w:szCs w:val="22"/>
              </w:rPr>
              <w:t>New Zealand</w:t>
            </w:r>
          </w:p>
        </w:tc>
        <w:tc>
          <w:tcPr>
            <w:tcW w:w="1414" w:type="dxa"/>
            <w:shd w:val="clear" w:color="auto" w:fill="E7E6E6" w:themeFill="background2"/>
          </w:tcPr>
          <w:p w14:paraId="653C2BC7" w14:textId="77777777" w:rsidR="00D44865" w:rsidRPr="00681781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1781">
              <w:rPr>
                <w:rFonts w:ascii="Arial" w:hAnsi="Arial" w:cs="Arial"/>
                <w:b/>
                <w:bCs/>
                <w:sz w:val="22"/>
                <w:szCs w:val="22"/>
              </w:rPr>
              <w:t>Combined</w:t>
            </w:r>
          </w:p>
        </w:tc>
      </w:tr>
      <w:tr w:rsidR="00D44865" w:rsidRPr="008A71FC" w14:paraId="2866F086" w14:textId="77777777" w:rsidTr="008003E2">
        <w:tc>
          <w:tcPr>
            <w:tcW w:w="1701" w:type="dxa"/>
          </w:tcPr>
          <w:p w14:paraId="4CA9C26D" w14:textId="77777777" w:rsidR="00D44865" w:rsidRPr="008A71FC" w:rsidRDefault="00D44865" w:rsidP="00D9174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</w:tcPr>
          <w:p w14:paraId="2794BCFF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NSW</w:t>
            </w:r>
          </w:p>
        </w:tc>
        <w:tc>
          <w:tcPr>
            <w:tcW w:w="1216" w:type="dxa"/>
          </w:tcPr>
          <w:p w14:paraId="10233D9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QLD</w:t>
            </w:r>
          </w:p>
        </w:tc>
        <w:tc>
          <w:tcPr>
            <w:tcW w:w="1216" w:type="dxa"/>
          </w:tcPr>
          <w:p w14:paraId="32FF3B4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SA</w:t>
            </w:r>
          </w:p>
        </w:tc>
        <w:tc>
          <w:tcPr>
            <w:tcW w:w="1216" w:type="dxa"/>
          </w:tcPr>
          <w:p w14:paraId="0491CFB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VIC</w:t>
            </w:r>
          </w:p>
        </w:tc>
        <w:tc>
          <w:tcPr>
            <w:tcW w:w="1216" w:type="dxa"/>
          </w:tcPr>
          <w:p w14:paraId="68DA4671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WA</w:t>
            </w:r>
          </w:p>
        </w:tc>
        <w:tc>
          <w:tcPr>
            <w:tcW w:w="1334" w:type="dxa"/>
          </w:tcPr>
          <w:p w14:paraId="18CD484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</w:tcPr>
          <w:p w14:paraId="165A7C8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865" w:rsidRPr="008A71FC" w14:paraId="2821DFBA" w14:textId="77777777" w:rsidTr="008003E2"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61D19" w14:textId="77777777" w:rsidR="00D44865" w:rsidRPr="008A71FC" w:rsidRDefault="00D44865" w:rsidP="00D9174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IPF</w:t>
            </w:r>
          </w:p>
        </w:tc>
        <w:tc>
          <w:tcPr>
            <w:tcW w:w="1216" w:type="dxa"/>
            <w:shd w:val="clear" w:color="auto" w:fill="E7E6E6" w:themeFill="background2"/>
          </w:tcPr>
          <w:p w14:paraId="21370873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n=394</w:t>
            </w:r>
          </w:p>
        </w:tc>
        <w:tc>
          <w:tcPr>
            <w:tcW w:w="1216" w:type="dxa"/>
            <w:shd w:val="clear" w:color="auto" w:fill="E7E6E6" w:themeFill="background2"/>
          </w:tcPr>
          <w:p w14:paraId="574BD86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n=68</w:t>
            </w:r>
          </w:p>
        </w:tc>
        <w:tc>
          <w:tcPr>
            <w:tcW w:w="1216" w:type="dxa"/>
            <w:shd w:val="clear" w:color="auto" w:fill="E7E6E6" w:themeFill="background2"/>
          </w:tcPr>
          <w:p w14:paraId="13B8C859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n=15</w:t>
            </w:r>
          </w:p>
        </w:tc>
        <w:tc>
          <w:tcPr>
            <w:tcW w:w="1216" w:type="dxa"/>
            <w:shd w:val="clear" w:color="auto" w:fill="E7E6E6" w:themeFill="background2"/>
          </w:tcPr>
          <w:p w14:paraId="32EAC045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n=241</w:t>
            </w:r>
          </w:p>
        </w:tc>
        <w:tc>
          <w:tcPr>
            <w:tcW w:w="1216" w:type="dxa"/>
            <w:shd w:val="clear" w:color="auto" w:fill="E7E6E6" w:themeFill="background2"/>
          </w:tcPr>
          <w:p w14:paraId="72DEEAE9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n=76</w:t>
            </w:r>
          </w:p>
        </w:tc>
        <w:tc>
          <w:tcPr>
            <w:tcW w:w="1334" w:type="dxa"/>
            <w:shd w:val="clear" w:color="auto" w:fill="E7E6E6" w:themeFill="background2"/>
          </w:tcPr>
          <w:p w14:paraId="6CE6D04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n=140</w:t>
            </w:r>
          </w:p>
        </w:tc>
        <w:tc>
          <w:tcPr>
            <w:tcW w:w="1414" w:type="dxa"/>
            <w:shd w:val="clear" w:color="auto" w:fill="E7E6E6" w:themeFill="background2"/>
          </w:tcPr>
          <w:p w14:paraId="6DD1E3ED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n=934</w:t>
            </w:r>
          </w:p>
        </w:tc>
      </w:tr>
      <w:tr w:rsidR="00D44865" w:rsidRPr="008A71FC" w14:paraId="6B6497FD" w14:textId="77777777" w:rsidTr="008003E2">
        <w:tc>
          <w:tcPr>
            <w:tcW w:w="1701" w:type="dxa"/>
            <w:tcBorders>
              <w:bottom w:val="nil"/>
            </w:tcBorders>
          </w:tcPr>
          <w:p w14:paraId="3690BA50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(L)</w:t>
            </w:r>
          </w:p>
        </w:tc>
        <w:tc>
          <w:tcPr>
            <w:tcW w:w="1216" w:type="dxa"/>
          </w:tcPr>
          <w:p w14:paraId="69485D6F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2.8±0.8</w:t>
            </w:r>
          </w:p>
        </w:tc>
        <w:tc>
          <w:tcPr>
            <w:tcW w:w="1216" w:type="dxa"/>
          </w:tcPr>
          <w:p w14:paraId="18356B61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3.0±0.9</w:t>
            </w:r>
          </w:p>
        </w:tc>
        <w:tc>
          <w:tcPr>
            <w:tcW w:w="1216" w:type="dxa"/>
          </w:tcPr>
          <w:p w14:paraId="54652BF9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2.7±0.8</w:t>
            </w:r>
          </w:p>
        </w:tc>
        <w:tc>
          <w:tcPr>
            <w:tcW w:w="1216" w:type="dxa"/>
          </w:tcPr>
          <w:p w14:paraId="4854D11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2.9±0.9</w:t>
            </w:r>
          </w:p>
        </w:tc>
        <w:tc>
          <w:tcPr>
            <w:tcW w:w="1216" w:type="dxa"/>
          </w:tcPr>
          <w:p w14:paraId="78E62CD4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3.2±1</w:t>
            </w:r>
          </w:p>
        </w:tc>
        <w:tc>
          <w:tcPr>
            <w:tcW w:w="1334" w:type="dxa"/>
          </w:tcPr>
          <w:p w14:paraId="3152BA2D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3.1±0.9</w:t>
            </w:r>
          </w:p>
        </w:tc>
        <w:tc>
          <w:tcPr>
            <w:tcW w:w="1414" w:type="dxa"/>
          </w:tcPr>
          <w:p w14:paraId="4DBD1F3F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2.9±0.9</w:t>
            </w:r>
          </w:p>
        </w:tc>
      </w:tr>
      <w:tr w:rsidR="00D44865" w:rsidRPr="008A71FC" w14:paraId="08D27C72" w14:textId="77777777" w:rsidTr="008003E2">
        <w:tc>
          <w:tcPr>
            <w:tcW w:w="1701" w:type="dxa"/>
            <w:tcBorders>
              <w:top w:val="nil"/>
            </w:tcBorders>
          </w:tcPr>
          <w:p w14:paraId="0D27B887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% pred</w:t>
            </w:r>
          </w:p>
        </w:tc>
        <w:tc>
          <w:tcPr>
            <w:tcW w:w="1216" w:type="dxa"/>
          </w:tcPr>
          <w:p w14:paraId="47DED10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80.9±17.7</w:t>
            </w:r>
          </w:p>
        </w:tc>
        <w:tc>
          <w:tcPr>
            <w:tcW w:w="1216" w:type="dxa"/>
          </w:tcPr>
          <w:p w14:paraId="4A051BE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79.1±20</w:t>
            </w:r>
          </w:p>
        </w:tc>
        <w:tc>
          <w:tcPr>
            <w:tcW w:w="1216" w:type="dxa"/>
          </w:tcPr>
          <w:p w14:paraId="410B84FE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76.1±17.7</w:t>
            </w:r>
          </w:p>
        </w:tc>
        <w:tc>
          <w:tcPr>
            <w:tcW w:w="1216" w:type="dxa"/>
          </w:tcPr>
          <w:p w14:paraId="71F9E095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82.1±17.9</w:t>
            </w:r>
          </w:p>
        </w:tc>
        <w:tc>
          <w:tcPr>
            <w:tcW w:w="1216" w:type="dxa"/>
          </w:tcPr>
          <w:p w14:paraId="1A29ABF1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86.7±19.9</w:t>
            </w:r>
          </w:p>
        </w:tc>
        <w:tc>
          <w:tcPr>
            <w:tcW w:w="1334" w:type="dxa"/>
          </w:tcPr>
          <w:p w14:paraId="4BB6011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87.5±18.8</w:t>
            </w:r>
          </w:p>
        </w:tc>
        <w:tc>
          <w:tcPr>
            <w:tcW w:w="1414" w:type="dxa"/>
          </w:tcPr>
          <w:p w14:paraId="205570BB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82.5±18.4</w:t>
            </w:r>
          </w:p>
        </w:tc>
      </w:tr>
      <w:tr w:rsidR="00D44865" w:rsidRPr="008A71FC" w14:paraId="7D6ADD37" w14:textId="77777777" w:rsidTr="008003E2"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DFCD1F9" w14:textId="77777777" w:rsidR="00D44865" w:rsidRPr="008A71FC" w:rsidRDefault="00D44865" w:rsidP="00D9174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CTD-ILD</w:t>
            </w:r>
          </w:p>
        </w:tc>
        <w:tc>
          <w:tcPr>
            <w:tcW w:w="1216" w:type="dxa"/>
            <w:shd w:val="clear" w:color="auto" w:fill="E7E6E6" w:themeFill="background2"/>
          </w:tcPr>
          <w:p w14:paraId="370FE58B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n=231</w:t>
            </w:r>
          </w:p>
        </w:tc>
        <w:tc>
          <w:tcPr>
            <w:tcW w:w="1216" w:type="dxa"/>
            <w:shd w:val="clear" w:color="auto" w:fill="E7E6E6" w:themeFill="background2"/>
          </w:tcPr>
          <w:p w14:paraId="77E5E62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n=25</w:t>
            </w:r>
          </w:p>
        </w:tc>
        <w:tc>
          <w:tcPr>
            <w:tcW w:w="1216" w:type="dxa"/>
            <w:shd w:val="clear" w:color="auto" w:fill="E7E6E6" w:themeFill="background2"/>
          </w:tcPr>
          <w:p w14:paraId="49BB4C25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n=5</w:t>
            </w:r>
          </w:p>
        </w:tc>
        <w:tc>
          <w:tcPr>
            <w:tcW w:w="1216" w:type="dxa"/>
            <w:shd w:val="clear" w:color="auto" w:fill="E7E6E6" w:themeFill="background2"/>
          </w:tcPr>
          <w:p w14:paraId="31650986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n=95</w:t>
            </w:r>
          </w:p>
        </w:tc>
        <w:tc>
          <w:tcPr>
            <w:tcW w:w="1216" w:type="dxa"/>
            <w:shd w:val="clear" w:color="auto" w:fill="E7E6E6" w:themeFill="background2"/>
          </w:tcPr>
          <w:p w14:paraId="0C2B2A9B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n=89</w:t>
            </w:r>
          </w:p>
        </w:tc>
        <w:tc>
          <w:tcPr>
            <w:tcW w:w="1334" w:type="dxa"/>
            <w:shd w:val="clear" w:color="auto" w:fill="E7E6E6" w:themeFill="background2"/>
          </w:tcPr>
          <w:p w14:paraId="6F0E366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n=67</w:t>
            </w:r>
          </w:p>
        </w:tc>
        <w:tc>
          <w:tcPr>
            <w:tcW w:w="1414" w:type="dxa"/>
            <w:shd w:val="clear" w:color="auto" w:fill="E7E6E6" w:themeFill="background2"/>
          </w:tcPr>
          <w:p w14:paraId="0F48F85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n=512</w:t>
            </w:r>
          </w:p>
        </w:tc>
      </w:tr>
      <w:tr w:rsidR="00D44865" w:rsidRPr="008A71FC" w14:paraId="50D9FD31" w14:textId="77777777" w:rsidTr="008003E2">
        <w:tc>
          <w:tcPr>
            <w:tcW w:w="1701" w:type="dxa"/>
            <w:tcBorders>
              <w:bottom w:val="nil"/>
            </w:tcBorders>
          </w:tcPr>
          <w:p w14:paraId="07B5841D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(L)</w:t>
            </w:r>
          </w:p>
        </w:tc>
        <w:tc>
          <w:tcPr>
            <w:tcW w:w="1216" w:type="dxa"/>
          </w:tcPr>
          <w:p w14:paraId="599A0D3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2.5±0.8</w:t>
            </w:r>
          </w:p>
        </w:tc>
        <w:tc>
          <w:tcPr>
            <w:tcW w:w="1216" w:type="dxa"/>
          </w:tcPr>
          <w:p w14:paraId="05F92E01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2.8±1.2</w:t>
            </w:r>
          </w:p>
        </w:tc>
        <w:tc>
          <w:tcPr>
            <w:tcW w:w="1216" w:type="dxa"/>
          </w:tcPr>
          <w:p w14:paraId="436692F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2.1±0.5</w:t>
            </w:r>
          </w:p>
        </w:tc>
        <w:tc>
          <w:tcPr>
            <w:tcW w:w="1216" w:type="dxa"/>
          </w:tcPr>
          <w:p w14:paraId="5121B758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2.6±0.9</w:t>
            </w:r>
          </w:p>
        </w:tc>
        <w:tc>
          <w:tcPr>
            <w:tcW w:w="1216" w:type="dxa"/>
          </w:tcPr>
          <w:p w14:paraId="15839718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2.7±0.9</w:t>
            </w:r>
          </w:p>
        </w:tc>
        <w:tc>
          <w:tcPr>
            <w:tcW w:w="1334" w:type="dxa"/>
          </w:tcPr>
          <w:p w14:paraId="74482B5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2.8±0.8</w:t>
            </w:r>
          </w:p>
        </w:tc>
        <w:tc>
          <w:tcPr>
            <w:tcW w:w="1414" w:type="dxa"/>
          </w:tcPr>
          <w:p w14:paraId="0FB293BA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2.6±0.9</w:t>
            </w:r>
          </w:p>
        </w:tc>
      </w:tr>
      <w:tr w:rsidR="00D44865" w:rsidRPr="008A71FC" w14:paraId="6A981881" w14:textId="77777777" w:rsidTr="008003E2">
        <w:tc>
          <w:tcPr>
            <w:tcW w:w="1701" w:type="dxa"/>
            <w:tcBorders>
              <w:top w:val="nil"/>
            </w:tcBorders>
          </w:tcPr>
          <w:p w14:paraId="55D32A99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% pred</w:t>
            </w:r>
          </w:p>
        </w:tc>
        <w:tc>
          <w:tcPr>
            <w:tcW w:w="1216" w:type="dxa"/>
          </w:tcPr>
          <w:p w14:paraId="21161BB5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73.7±19.3</w:t>
            </w:r>
          </w:p>
        </w:tc>
        <w:tc>
          <w:tcPr>
            <w:tcW w:w="1216" w:type="dxa"/>
          </w:tcPr>
          <w:p w14:paraId="6831A659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76.3±25.5</w:t>
            </w:r>
          </w:p>
        </w:tc>
        <w:tc>
          <w:tcPr>
            <w:tcW w:w="1216" w:type="dxa"/>
          </w:tcPr>
          <w:p w14:paraId="53C79BFE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76.9±28.5</w:t>
            </w:r>
          </w:p>
        </w:tc>
        <w:tc>
          <w:tcPr>
            <w:tcW w:w="1216" w:type="dxa"/>
          </w:tcPr>
          <w:p w14:paraId="2BB83C3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75.9±20.5</w:t>
            </w:r>
          </w:p>
        </w:tc>
        <w:tc>
          <w:tcPr>
            <w:tcW w:w="1216" w:type="dxa"/>
          </w:tcPr>
          <w:p w14:paraId="55E9B9E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80.4±19.2</w:t>
            </w:r>
          </w:p>
        </w:tc>
        <w:tc>
          <w:tcPr>
            <w:tcW w:w="1334" w:type="dxa"/>
          </w:tcPr>
          <w:p w14:paraId="028DC32A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82±20.4</w:t>
            </w:r>
          </w:p>
        </w:tc>
        <w:tc>
          <w:tcPr>
            <w:tcW w:w="1414" w:type="dxa"/>
          </w:tcPr>
          <w:p w14:paraId="1384D97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76.5±20.2</w:t>
            </w:r>
          </w:p>
        </w:tc>
      </w:tr>
      <w:tr w:rsidR="00D44865" w:rsidRPr="008A71FC" w14:paraId="200F5F30" w14:textId="77777777" w:rsidTr="008003E2"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7F0EF04" w14:textId="77777777" w:rsidR="00D44865" w:rsidRPr="008A71FC" w:rsidRDefault="00D44865" w:rsidP="00D9174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Unclassifiable </w:t>
            </w:r>
          </w:p>
        </w:tc>
        <w:tc>
          <w:tcPr>
            <w:tcW w:w="1216" w:type="dxa"/>
            <w:shd w:val="clear" w:color="auto" w:fill="E7E6E6" w:themeFill="background2"/>
          </w:tcPr>
          <w:p w14:paraId="210E6AB6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n=181</w:t>
            </w:r>
          </w:p>
        </w:tc>
        <w:tc>
          <w:tcPr>
            <w:tcW w:w="1216" w:type="dxa"/>
            <w:shd w:val="clear" w:color="auto" w:fill="E7E6E6" w:themeFill="background2"/>
          </w:tcPr>
          <w:p w14:paraId="41207E11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n=17</w:t>
            </w:r>
          </w:p>
        </w:tc>
        <w:tc>
          <w:tcPr>
            <w:tcW w:w="1216" w:type="dxa"/>
            <w:shd w:val="clear" w:color="auto" w:fill="E7E6E6" w:themeFill="background2"/>
          </w:tcPr>
          <w:p w14:paraId="169123A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n=0</w:t>
            </w:r>
          </w:p>
        </w:tc>
        <w:tc>
          <w:tcPr>
            <w:tcW w:w="1216" w:type="dxa"/>
            <w:shd w:val="clear" w:color="auto" w:fill="E7E6E6" w:themeFill="background2"/>
          </w:tcPr>
          <w:p w14:paraId="5910759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n=66</w:t>
            </w:r>
          </w:p>
        </w:tc>
        <w:tc>
          <w:tcPr>
            <w:tcW w:w="1216" w:type="dxa"/>
            <w:shd w:val="clear" w:color="auto" w:fill="E7E6E6" w:themeFill="background2"/>
          </w:tcPr>
          <w:p w14:paraId="677CBC4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n=35</w:t>
            </w:r>
          </w:p>
        </w:tc>
        <w:tc>
          <w:tcPr>
            <w:tcW w:w="1334" w:type="dxa"/>
            <w:shd w:val="clear" w:color="auto" w:fill="E7E6E6" w:themeFill="background2"/>
          </w:tcPr>
          <w:p w14:paraId="374F20F8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n=60</w:t>
            </w:r>
          </w:p>
        </w:tc>
        <w:tc>
          <w:tcPr>
            <w:tcW w:w="1414" w:type="dxa"/>
            <w:shd w:val="clear" w:color="auto" w:fill="E7E6E6" w:themeFill="background2"/>
          </w:tcPr>
          <w:p w14:paraId="71B0A0A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n=359</w:t>
            </w:r>
          </w:p>
        </w:tc>
      </w:tr>
      <w:tr w:rsidR="00D44865" w:rsidRPr="008A71FC" w14:paraId="4C80E430" w14:textId="77777777" w:rsidTr="008003E2">
        <w:tc>
          <w:tcPr>
            <w:tcW w:w="1701" w:type="dxa"/>
            <w:tcBorders>
              <w:bottom w:val="nil"/>
            </w:tcBorders>
          </w:tcPr>
          <w:p w14:paraId="08C3837E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(L)</w:t>
            </w:r>
          </w:p>
        </w:tc>
        <w:tc>
          <w:tcPr>
            <w:tcW w:w="1216" w:type="dxa"/>
          </w:tcPr>
          <w:p w14:paraId="4F981E16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2.7±0.9</w:t>
            </w:r>
          </w:p>
        </w:tc>
        <w:tc>
          <w:tcPr>
            <w:tcW w:w="1216" w:type="dxa"/>
          </w:tcPr>
          <w:p w14:paraId="19C71D5E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3.0±0.7</w:t>
            </w:r>
          </w:p>
        </w:tc>
        <w:tc>
          <w:tcPr>
            <w:tcW w:w="1216" w:type="dxa"/>
          </w:tcPr>
          <w:p w14:paraId="06BE5DCB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</w:tcPr>
          <w:p w14:paraId="5020E28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2.8±1.0</w:t>
            </w:r>
          </w:p>
        </w:tc>
        <w:tc>
          <w:tcPr>
            <w:tcW w:w="1216" w:type="dxa"/>
          </w:tcPr>
          <w:p w14:paraId="189F2E36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2.8±0.8</w:t>
            </w:r>
          </w:p>
        </w:tc>
        <w:tc>
          <w:tcPr>
            <w:tcW w:w="1334" w:type="dxa"/>
          </w:tcPr>
          <w:p w14:paraId="2DBC86F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2.8±1.2</w:t>
            </w:r>
          </w:p>
        </w:tc>
        <w:tc>
          <w:tcPr>
            <w:tcW w:w="1414" w:type="dxa"/>
          </w:tcPr>
          <w:p w14:paraId="34917D4E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2.8±1.0</w:t>
            </w:r>
          </w:p>
        </w:tc>
      </w:tr>
      <w:tr w:rsidR="00D44865" w:rsidRPr="008A71FC" w14:paraId="760D6AB6" w14:textId="77777777" w:rsidTr="008003E2">
        <w:tc>
          <w:tcPr>
            <w:tcW w:w="1701" w:type="dxa"/>
            <w:tcBorders>
              <w:top w:val="nil"/>
            </w:tcBorders>
          </w:tcPr>
          <w:p w14:paraId="07BEF0E3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% pred</w:t>
            </w:r>
          </w:p>
        </w:tc>
        <w:tc>
          <w:tcPr>
            <w:tcW w:w="1216" w:type="dxa"/>
          </w:tcPr>
          <w:p w14:paraId="432BFA13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80.4±19.2</w:t>
            </w:r>
          </w:p>
        </w:tc>
        <w:tc>
          <w:tcPr>
            <w:tcW w:w="1216" w:type="dxa"/>
          </w:tcPr>
          <w:p w14:paraId="09257AEE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77.8±13.5</w:t>
            </w:r>
          </w:p>
        </w:tc>
        <w:tc>
          <w:tcPr>
            <w:tcW w:w="1216" w:type="dxa"/>
          </w:tcPr>
          <w:p w14:paraId="7DE9AFA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</w:tcPr>
          <w:p w14:paraId="0903DC61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79.1±23.5</w:t>
            </w:r>
          </w:p>
        </w:tc>
        <w:tc>
          <w:tcPr>
            <w:tcW w:w="1216" w:type="dxa"/>
          </w:tcPr>
          <w:p w14:paraId="742A38E5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81.4±17.8</w:t>
            </w:r>
          </w:p>
        </w:tc>
        <w:tc>
          <w:tcPr>
            <w:tcW w:w="1334" w:type="dxa"/>
          </w:tcPr>
          <w:p w14:paraId="12D5AA39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85.5±23.7</w:t>
            </w:r>
          </w:p>
        </w:tc>
        <w:tc>
          <w:tcPr>
            <w:tcW w:w="1414" w:type="dxa"/>
          </w:tcPr>
          <w:p w14:paraId="29EFF818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81±20.4</w:t>
            </w:r>
          </w:p>
        </w:tc>
      </w:tr>
      <w:tr w:rsidR="00D44865" w:rsidRPr="008A71FC" w14:paraId="51A2DB87" w14:textId="77777777" w:rsidTr="008003E2"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BC3B895" w14:textId="77777777" w:rsidR="00D44865" w:rsidRPr="008A71FC" w:rsidRDefault="00D44865" w:rsidP="00D9174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CHP</w:t>
            </w:r>
          </w:p>
        </w:tc>
        <w:tc>
          <w:tcPr>
            <w:tcW w:w="1216" w:type="dxa"/>
            <w:shd w:val="clear" w:color="auto" w:fill="E7E6E6" w:themeFill="background2"/>
          </w:tcPr>
          <w:p w14:paraId="1E8D1EB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n=100</w:t>
            </w:r>
          </w:p>
        </w:tc>
        <w:tc>
          <w:tcPr>
            <w:tcW w:w="1216" w:type="dxa"/>
            <w:shd w:val="clear" w:color="auto" w:fill="E7E6E6" w:themeFill="background2"/>
          </w:tcPr>
          <w:p w14:paraId="26DF622A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n=18</w:t>
            </w:r>
          </w:p>
        </w:tc>
        <w:tc>
          <w:tcPr>
            <w:tcW w:w="1216" w:type="dxa"/>
            <w:shd w:val="clear" w:color="auto" w:fill="E7E6E6" w:themeFill="background2"/>
          </w:tcPr>
          <w:p w14:paraId="62C5B461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n=5</w:t>
            </w:r>
          </w:p>
        </w:tc>
        <w:tc>
          <w:tcPr>
            <w:tcW w:w="1216" w:type="dxa"/>
            <w:shd w:val="clear" w:color="auto" w:fill="E7E6E6" w:themeFill="background2"/>
          </w:tcPr>
          <w:p w14:paraId="55A5E63F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n=75</w:t>
            </w:r>
          </w:p>
        </w:tc>
        <w:tc>
          <w:tcPr>
            <w:tcW w:w="1216" w:type="dxa"/>
            <w:shd w:val="clear" w:color="auto" w:fill="E7E6E6" w:themeFill="background2"/>
          </w:tcPr>
          <w:p w14:paraId="587EE623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n=30</w:t>
            </w:r>
          </w:p>
        </w:tc>
        <w:tc>
          <w:tcPr>
            <w:tcW w:w="1334" w:type="dxa"/>
            <w:shd w:val="clear" w:color="auto" w:fill="E7E6E6" w:themeFill="background2"/>
          </w:tcPr>
          <w:p w14:paraId="174FB218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n=50</w:t>
            </w:r>
          </w:p>
        </w:tc>
        <w:tc>
          <w:tcPr>
            <w:tcW w:w="1414" w:type="dxa"/>
            <w:shd w:val="clear" w:color="auto" w:fill="E7E6E6" w:themeFill="background2"/>
          </w:tcPr>
          <w:p w14:paraId="6770135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n=278</w:t>
            </w:r>
          </w:p>
        </w:tc>
      </w:tr>
      <w:tr w:rsidR="00D44865" w:rsidRPr="008A71FC" w14:paraId="64988EAB" w14:textId="77777777" w:rsidTr="008003E2">
        <w:tc>
          <w:tcPr>
            <w:tcW w:w="1701" w:type="dxa"/>
            <w:tcBorders>
              <w:bottom w:val="nil"/>
            </w:tcBorders>
          </w:tcPr>
          <w:p w14:paraId="6FCCAB99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(L)</w:t>
            </w:r>
          </w:p>
        </w:tc>
        <w:tc>
          <w:tcPr>
            <w:tcW w:w="1216" w:type="dxa"/>
          </w:tcPr>
          <w:p w14:paraId="19DFF975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2.2±0.8</w:t>
            </w:r>
          </w:p>
        </w:tc>
        <w:tc>
          <w:tcPr>
            <w:tcW w:w="1216" w:type="dxa"/>
          </w:tcPr>
          <w:p w14:paraId="4071AE2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2.4±0.6</w:t>
            </w:r>
          </w:p>
        </w:tc>
        <w:tc>
          <w:tcPr>
            <w:tcW w:w="1216" w:type="dxa"/>
          </w:tcPr>
          <w:p w14:paraId="643223C5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4.1±1.3</w:t>
            </w:r>
          </w:p>
        </w:tc>
        <w:tc>
          <w:tcPr>
            <w:tcW w:w="1216" w:type="dxa"/>
          </w:tcPr>
          <w:p w14:paraId="7293191A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2.6±0.8</w:t>
            </w:r>
          </w:p>
        </w:tc>
        <w:tc>
          <w:tcPr>
            <w:tcW w:w="1216" w:type="dxa"/>
          </w:tcPr>
          <w:p w14:paraId="1036E0CD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2.3±0.8</w:t>
            </w:r>
          </w:p>
        </w:tc>
        <w:tc>
          <w:tcPr>
            <w:tcW w:w="1334" w:type="dxa"/>
          </w:tcPr>
          <w:p w14:paraId="245AD0BF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2.5±0.9</w:t>
            </w:r>
          </w:p>
        </w:tc>
        <w:tc>
          <w:tcPr>
            <w:tcW w:w="1414" w:type="dxa"/>
          </w:tcPr>
          <w:p w14:paraId="4B06F2A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2.4±0.9</w:t>
            </w:r>
          </w:p>
        </w:tc>
      </w:tr>
      <w:tr w:rsidR="00D44865" w:rsidRPr="008A71FC" w14:paraId="2CCAF313" w14:textId="77777777" w:rsidTr="008003E2">
        <w:tc>
          <w:tcPr>
            <w:tcW w:w="1701" w:type="dxa"/>
            <w:tcBorders>
              <w:top w:val="nil"/>
            </w:tcBorders>
          </w:tcPr>
          <w:p w14:paraId="4BA61C53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% pred</w:t>
            </w:r>
          </w:p>
        </w:tc>
        <w:tc>
          <w:tcPr>
            <w:tcW w:w="1216" w:type="dxa"/>
          </w:tcPr>
          <w:p w14:paraId="3E996CB3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70.9±19.5</w:t>
            </w:r>
          </w:p>
        </w:tc>
        <w:tc>
          <w:tcPr>
            <w:tcW w:w="1216" w:type="dxa"/>
          </w:tcPr>
          <w:p w14:paraId="1EEBF2F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72.2±19.4</w:t>
            </w:r>
          </w:p>
        </w:tc>
        <w:tc>
          <w:tcPr>
            <w:tcW w:w="1216" w:type="dxa"/>
          </w:tcPr>
          <w:p w14:paraId="5CD56CD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93.1±12.6</w:t>
            </w:r>
          </w:p>
        </w:tc>
        <w:tc>
          <w:tcPr>
            <w:tcW w:w="1216" w:type="dxa"/>
          </w:tcPr>
          <w:p w14:paraId="02BE206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71.8±20.1</w:t>
            </w:r>
          </w:p>
        </w:tc>
        <w:tc>
          <w:tcPr>
            <w:tcW w:w="1216" w:type="dxa"/>
          </w:tcPr>
          <w:p w14:paraId="52EE834F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74.4±16.1</w:t>
            </w:r>
          </w:p>
        </w:tc>
        <w:tc>
          <w:tcPr>
            <w:tcW w:w="1334" w:type="dxa"/>
          </w:tcPr>
          <w:p w14:paraId="233050C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74.8±18.9</w:t>
            </w:r>
          </w:p>
        </w:tc>
        <w:tc>
          <w:tcPr>
            <w:tcW w:w="1414" w:type="dxa"/>
          </w:tcPr>
          <w:p w14:paraId="0F96F1E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72.7±19.2</w:t>
            </w:r>
          </w:p>
        </w:tc>
      </w:tr>
      <w:tr w:rsidR="00D44865" w:rsidRPr="008A71FC" w14:paraId="7482816E" w14:textId="77777777" w:rsidTr="008003E2"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0DBF6AC" w14:textId="77777777" w:rsidR="00D44865" w:rsidRPr="008A71FC" w:rsidRDefault="00D44865" w:rsidP="00D9174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Sarcoidosis</w:t>
            </w:r>
          </w:p>
        </w:tc>
        <w:tc>
          <w:tcPr>
            <w:tcW w:w="1216" w:type="dxa"/>
            <w:shd w:val="clear" w:color="auto" w:fill="E7E6E6" w:themeFill="background2"/>
          </w:tcPr>
          <w:p w14:paraId="1192E50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n=62</w:t>
            </w:r>
          </w:p>
        </w:tc>
        <w:tc>
          <w:tcPr>
            <w:tcW w:w="1216" w:type="dxa"/>
            <w:shd w:val="clear" w:color="auto" w:fill="E7E6E6" w:themeFill="background2"/>
          </w:tcPr>
          <w:p w14:paraId="4B67F38A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n=1</w:t>
            </w:r>
          </w:p>
        </w:tc>
        <w:tc>
          <w:tcPr>
            <w:tcW w:w="1216" w:type="dxa"/>
            <w:shd w:val="clear" w:color="auto" w:fill="E7E6E6" w:themeFill="background2"/>
          </w:tcPr>
          <w:p w14:paraId="6DF6BF7F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n=1</w:t>
            </w:r>
          </w:p>
        </w:tc>
        <w:tc>
          <w:tcPr>
            <w:tcW w:w="1216" w:type="dxa"/>
            <w:shd w:val="clear" w:color="auto" w:fill="E7E6E6" w:themeFill="background2"/>
          </w:tcPr>
          <w:p w14:paraId="2E1D62E0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n=38</w:t>
            </w:r>
          </w:p>
        </w:tc>
        <w:tc>
          <w:tcPr>
            <w:tcW w:w="1216" w:type="dxa"/>
            <w:shd w:val="clear" w:color="auto" w:fill="E7E6E6" w:themeFill="background2"/>
          </w:tcPr>
          <w:p w14:paraId="3866E90B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n=43</w:t>
            </w:r>
          </w:p>
        </w:tc>
        <w:tc>
          <w:tcPr>
            <w:tcW w:w="1334" w:type="dxa"/>
            <w:shd w:val="clear" w:color="auto" w:fill="E7E6E6" w:themeFill="background2"/>
          </w:tcPr>
          <w:p w14:paraId="5F071147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n=57</w:t>
            </w:r>
          </w:p>
        </w:tc>
        <w:tc>
          <w:tcPr>
            <w:tcW w:w="1414" w:type="dxa"/>
            <w:shd w:val="clear" w:color="auto" w:fill="E7E6E6" w:themeFill="background2"/>
          </w:tcPr>
          <w:p w14:paraId="2D2EB92B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71FC">
              <w:rPr>
                <w:rFonts w:ascii="Arial" w:hAnsi="Arial" w:cs="Arial"/>
                <w:b/>
                <w:bCs/>
                <w:sz w:val="22"/>
                <w:szCs w:val="22"/>
              </w:rPr>
              <w:t>n=202</w:t>
            </w:r>
          </w:p>
        </w:tc>
      </w:tr>
      <w:tr w:rsidR="00D44865" w:rsidRPr="008A71FC" w14:paraId="4EE82D65" w14:textId="77777777" w:rsidTr="008003E2">
        <w:tc>
          <w:tcPr>
            <w:tcW w:w="1701" w:type="dxa"/>
            <w:tcBorders>
              <w:bottom w:val="nil"/>
            </w:tcBorders>
          </w:tcPr>
          <w:p w14:paraId="4DAC5EDB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(L)</w:t>
            </w:r>
          </w:p>
        </w:tc>
        <w:tc>
          <w:tcPr>
            <w:tcW w:w="1216" w:type="dxa"/>
          </w:tcPr>
          <w:p w14:paraId="68BFE82C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3.8±0.9</w:t>
            </w:r>
          </w:p>
        </w:tc>
        <w:tc>
          <w:tcPr>
            <w:tcW w:w="1216" w:type="dxa"/>
          </w:tcPr>
          <w:p w14:paraId="253AE06A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3.5</w:t>
            </w:r>
          </w:p>
        </w:tc>
        <w:tc>
          <w:tcPr>
            <w:tcW w:w="1216" w:type="dxa"/>
          </w:tcPr>
          <w:p w14:paraId="5EC002B8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3.6</w:t>
            </w:r>
          </w:p>
        </w:tc>
        <w:tc>
          <w:tcPr>
            <w:tcW w:w="1216" w:type="dxa"/>
          </w:tcPr>
          <w:p w14:paraId="0735403D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3.77±1.1</w:t>
            </w:r>
          </w:p>
        </w:tc>
        <w:tc>
          <w:tcPr>
            <w:tcW w:w="1216" w:type="dxa"/>
          </w:tcPr>
          <w:p w14:paraId="20EE0D26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3.6±1.2</w:t>
            </w:r>
          </w:p>
        </w:tc>
        <w:tc>
          <w:tcPr>
            <w:tcW w:w="1334" w:type="dxa"/>
          </w:tcPr>
          <w:p w14:paraId="677B2BFD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3.6±1.2</w:t>
            </w:r>
          </w:p>
        </w:tc>
        <w:tc>
          <w:tcPr>
            <w:tcW w:w="1414" w:type="dxa"/>
          </w:tcPr>
          <w:p w14:paraId="7B538A28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3.7±1.1</w:t>
            </w:r>
          </w:p>
        </w:tc>
      </w:tr>
      <w:tr w:rsidR="00D44865" w:rsidRPr="008A71FC" w14:paraId="0613ECD2" w14:textId="77777777" w:rsidTr="008003E2">
        <w:tc>
          <w:tcPr>
            <w:tcW w:w="1701" w:type="dxa"/>
            <w:tcBorders>
              <w:top w:val="nil"/>
            </w:tcBorders>
          </w:tcPr>
          <w:p w14:paraId="3C22681D" w14:textId="77777777" w:rsidR="00D44865" w:rsidRPr="008A71FC" w:rsidRDefault="00D44865" w:rsidP="00D9174A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Mean FVC % pred</w:t>
            </w:r>
          </w:p>
        </w:tc>
        <w:tc>
          <w:tcPr>
            <w:tcW w:w="1216" w:type="dxa"/>
          </w:tcPr>
          <w:p w14:paraId="0F00F402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86±15.9</w:t>
            </w:r>
          </w:p>
        </w:tc>
        <w:tc>
          <w:tcPr>
            <w:tcW w:w="1216" w:type="dxa"/>
          </w:tcPr>
          <w:p w14:paraId="329DB18A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16" w:type="dxa"/>
          </w:tcPr>
          <w:p w14:paraId="66B0D98A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216" w:type="dxa"/>
          </w:tcPr>
          <w:p w14:paraId="29967E3E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83.9±18.4</w:t>
            </w:r>
          </w:p>
        </w:tc>
        <w:tc>
          <w:tcPr>
            <w:tcW w:w="1216" w:type="dxa"/>
          </w:tcPr>
          <w:p w14:paraId="0D75D4B6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86.2±20.1</w:t>
            </w:r>
          </w:p>
        </w:tc>
        <w:tc>
          <w:tcPr>
            <w:tcW w:w="1334" w:type="dxa"/>
          </w:tcPr>
          <w:p w14:paraId="7C6E08D4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88.5±20</w:t>
            </w:r>
          </w:p>
        </w:tc>
        <w:tc>
          <w:tcPr>
            <w:tcW w:w="1414" w:type="dxa"/>
          </w:tcPr>
          <w:p w14:paraId="2455AE7E" w14:textId="77777777" w:rsidR="00D44865" w:rsidRPr="008A71FC" w:rsidRDefault="00D44865" w:rsidP="00D9174A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71FC">
              <w:rPr>
                <w:rFonts w:ascii="Arial" w:hAnsi="Arial" w:cs="Arial"/>
                <w:sz w:val="22"/>
                <w:szCs w:val="22"/>
              </w:rPr>
              <w:t>86.5±18.4</w:t>
            </w:r>
          </w:p>
        </w:tc>
      </w:tr>
    </w:tbl>
    <w:p w14:paraId="4570EDFC" w14:textId="77777777" w:rsidR="00D44865" w:rsidRPr="000B5BE3" w:rsidRDefault="00D44865" w:rsidP="00D44865">
      <w:pPr>
        <w:rPr>
          <w:rFonts w:ascii="Arial" w:hAnsi="Arial" w:cs="Arial"/>
          <w:sz w:val="22"/>
          <w:szCs w:val="22"/>
        </w:rPr>
      </w:pPr>
      <w:r w:rsidRPr="000B5BE3">
        <w:rPr>
          <w:rFonts w:ascii="Arial" w:hAnsi="Arial" w:cs="Arial"/>
          <w:sz w:val="22"/>
          <w:szCs w:val="22"/>
        </w:rPr>
        <w:t>± standard deviation</w:t>
      </w:r>
    </w:p>
    <w:p w14:paraId="537D18C6" w14:textId="7777777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2F28"/>
    <w:rsid w:val="0003333C"/>
    <w:rsid w:val="000B0E76"/>
    <w:rsid w:val="000B5BE3"/>
    <w:rsid w:val="000C40ED"/>
    <w:rsid w:val="000D4A78"/>
    <w:rsid w:val="000F08B9"/>
    <w:rsid w:val="00114047"/>
    <w:rsid w:val="00130EC9"/>
    <w:rsid w:val="001412FD"/>
    <w:rsid w:val="001564A4"/>
    <w:rsid w:val="00164E57"/>
    <w:rsid w:val="001A2372"/>
    <w:rsid w:val="001B0641"/>
    <w:rsid w:val="001E2AAB"/>
    <w:rsid w:val="0021343C"/>
    <w:rsid w:val="00221AE6"/>
    <w:rsid w:val="00222158"/>
    <w:rsid w:val="00227199"/>
    <w:rsid w:val="002455DB"/>
    <w:rsid w:val="002D634B"/>
    <w:rsid w:val="002E6E0F"/>
    <w:rsid w:val="002F643E"/>
    <w:rsid w:val="00301CF9"/>
    <w:rsid w:val="00333AAA"/>
    <w:rsid w:val="00346BC1"/>
    <w:rsid w:val="00357C96"/>
    <w:rsid w:val="0036726B"/>
    <w:rsid w:val="003B594B"/>
    <w:rsid w:val="003B7818"/>
    <w:rsid w:val="003D4461"/>
    <w:rsid w:val="003E3CD0"/>
    <w:rsid w:val="00403E63"/>
    <w:rsid w:val="00455BC3"/>
    <w:rsid w:val="00482389"/>
    <w:rsid w:val="004C6836"/>
    <w:rsid w:val="004D36FF"/>
    <w:rsid w:val="0051574E"/>
    <w:rsid w:val="00515F25"/>
    <w:rsid w:val="00611032"/>
    <w:rsid w:val="00676D78"/>
    <w:rsid w:val="00681781"/>
    <w:rsid w:val="006A3D7C"/>
    <w:rsid w:val="006C1541"/>
    <w:rsid w:val="006D0004"/>
    <w:rsid w:val="00702670"/>
    <w:rsid w:val="007144F3"/>
    <w:rsid w:val="00720D67"/>
    <w:rsid w:val="00752C9A"/>
    <w:rsid w:val="008003E2"/>
    <w:rsid w:val="0083103E"/>
    <w:rsid w:val="008548AC"/>
    <w:rsid w:val="008803FA"/>
    <w:rsid w:val="008A71FC"/>
    <w:rsid w:val="008D2753"/>
    <w:rsid w:val="008F5E44"/>
    <w:rsid w:val="009270CB"/>
    <w:rsid w:val="009A0152"/>
    <w:rsid w:val="009D3D1C"/>
    <w:rsid w:val="009D56B8"/>
    <w:rsid w:val="00A04668"/>
    <w:rsid w:val="00A06433"/>
    <w:rsid w:val="00A31A7D"/>
    <w:rsid w:val="00A479F9"/>
    <w:rsid w:val="00AA61DF"/>
    <w:rsid w:val="00B12E32"/>
    <w:rsid w:val="00B26199"/>
    <w:rsid w:val="00BA31AA"/>
    <w:rsid w:val="00BE16D5"/>
    <w:rsid w:val="00BE40F8"/>
    <w:rsid w:val="00C24AAE"/>
    <w:rsid w:val="00C43475"/>
    <w:rsid w:val="00C77B95"/>
    <w:rsid w:val="00CE75FD"/>
    <w:rsid w:val="00D2588A"/>
    <w:rsid w:val="00D26D99"/>
    <w:rsid w:val="00D35D72"/>
    <w:rsid w:val="00D36B7C"/>
    <w:rsid w:val="00D44865"/>
    <w:rsid w:val="00D7546A"/>
    <w:rsid w:val="00DC4B94"/>
    <w:rsid w:val="00E0700F"/>
    <w:rsid w:val="00E25B61"/>
    <w:rsid w:val="00E636E5"/>
    <w:rsid w:val="00E959AD"/>
    <w:rsid w:val="00F23374"/>
    <w:rsid w:val="00F55375"/>
    <w:rsid w:val="00F60FC7"/>
    <w:rsid w:val="00F6564C"/>
    <w:rsid w:val="00F74E20"/>
    <w:rsid w:val="00F847CA"/>
    <w:rsid w:val="00F84C9B"/>
    <w:rsid w:val="00F90570"/>
    <w:rsid w:val="00FC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61103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D44865"/>
    <w:rPr>
      <w:rFonts w:ascii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Irene Moore</cp:lastModifiedBy>
  <cp:revision>7</cp:revision>
  <dcterms:created xsi:type="dcterms:W3CDTF">2023-10-18T12:30:00Z</dcterms:created>
  <dcterms:modified xsi:type="dcterms:W3CDTF">2023-10-18T13:18:00Z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