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4A3628" w:rsidRPr="009A6C6F" w14:paraId="5E79EE7E" w14:textId="77777777" w:rsidTr="00D13086">
        <w:tc>
          <w:tcPr>
            <w:tcW w:w="8640" w:type="dxa"/>
            <w:shd w:val="clear" w:color="auto" w:fill="F2F2F2" w:themeFill="background1" w:themeFillShade="F2"/>
          </w:tcPr>
          <w:p w14:paraId="121FEE9A" w14:textId="32C3E859" w:rsidR="0055674B" w:rsidRPr="009A6C6F" w:rsidRDefault="009A6C6F" w:rsidP="00D13086">
            <w:pPr>
              <w:jc w:val="both"/>
              <w:rPr>
                <w:rFonts w:ascii="Arial" w:hAnsi="Arial" w:cs="Arial"/>
                <w:bCs/>
                <w:i/>
                <w:iCs/>
                <w:sz w:val="22"/>
                <w:szCs w:val="22"/>
              </w:rPr>
            </w:pPr>
            <w:r w:rsidRPr="009A6C6F">
              <w:rPr>
                <w:rFonts w:ascii="Arial" w:hAnsi="Arial" w:cs="Arial"/>
                <w:bCs/>
                <w:i/>
                <w:iCs/>
                <w:sz w:val="22"/>
                <w:szCs w:val="22"/>
              </w:rPr>
              <w:t>Knowledge Café</w:t>
            </w:r>
          </w:p>
          <w:p w14:paraId="577AC057" w14:textId="6CA1B169" w:rsidR="004A3628" w:rsidRPr="009A6C6F" w:rsidRDefault="0055674B" w:rsidP="00D13086">
            <w:pPr>
              <w:jc w:val="both"/>
              <w:rPr>
                <w:rFonts w:ascii="Arial" w:hAnsi="Arial" w:cs="Arial"/>
                <w:b/>
                <w:sz w:val="22"/>
                <w:szCs w:val="22"/>
              </w:rPr>
            </w:pPr>
            <w:r w:rsidRPr="009A6C6F">
              <w:rPr>
                <w:rFonts w:ascii="Arial" w:hAnsi="Arial" w:cs="Arial"/>
                <w:b/>
                <w:sz w:val="22"/>
                <w:szCs w:val="22"/>
                <w:lang w:val="en-US"/>
              </w:rPr>
              <w:t>Transformative Adaptation for a Just Transition: Lessons from South Africa</w:t>
            </w:r>
          </w:p>
          <w:p w14:paraId="1B31BF05" w14:textId="77777777" w:rsidR="004A3628" w:rsidRPr="009A6C6F" w:rsidRDefault="004A3628" w:rsidP="00D13086">
            <w:pPr>
              <w:jc w:val="both"/>
              <w:rPr>
                <w:rFonts w:ascii="Arial" w:hAnsi="Arial" w:cs="Arial"/>
                <w:b/>
                <w:sz w:val="22"/>
                <w:szCs w:val="22"/>
              </w:rPr>
            </w:pPr>
          </w:p>
        </w:tc>
      </w:tr>
      <w:tr w:rsidR="004A3628" w:rsidRPr="0003525D" w14:paraId="1AD42B31" w14:textId="77777777" w:rsidTr="00D13086">
        <w:trPr>
          <w:trHeight w:val="1511"/>
        </w:trPr>
        <w:tc>
          <w:tcPr>
            <w:tcW w:w="8640" w:type="dxa"/>
          </w:tcPr>
          <w:p w14:paraId="27693C83" w14:textId="77777777" w:rsidR="0099216E" w:rsidRDefault="0099216E" w:rsidP="00C21B97">
            <w:pPr>
              <w:jc w:val="both"/>
              <w:rPr>
                <w:rFonts w:ascii="Arial" w:hAnsi="Arial" w:cs="Arial"/>
                <w:bCs/>
                <w:sz w:val="22"/>
                <w:szCs w:val="22"/>
              </w:rPr>
            </w:pPr>
          </w:p>
          <w:p w14:paraId="6D8DCAB5" w14:textId="0D419120" w:rsidR="00C21B97" w:rsidRPr="0099216E" w:rsidRDefault="00C21B97" w:rsidP="0099216E">
            <w:pPr>
              <w:spacing w:before="60" w:after="60"/>
              <w:jc w:val="both"/>
              <w:rPr>
                <w:rFonts w:ascii="Arial" w:hAnsi="Arial" w:cs="Arial"/>
                <w:b/>
                <w:sz w:val="22"/>
                <w:szCs w:val="22"/>
              </w:rPr>
            </w:pPr>
            <w:r w:rsidRPr="0099216E">
              <w:rPr>
                <w:rFonts w:ascii="Arial" w:hAnsi="Arial" w:cs="Arial"/>
                <w:b/>
                <w:sz w:val="22"/>
                <w:szCs w:val="22"/>
              </w:rPr>
              <w:t>Background and Rationale</w:t>
            </w:r>
          </w:p>
          <w:p w14:paraId="73A66242"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This knowledge café co-creation session, ‘Transformative Adaptation for a Just Transition: Lessons from South Africa,’ will explore the opportunities for transformative adaptation of cities, settlements, and infrastructure under a Just Transition framework. It will leverage </w:t>
            </w:r>
            <w:proofErr w:type="spellStart"/>
            <w:r w:rsidRPr="00C21B97">
              <w:rPr>
                <w:rFonts w:ascii="Arial" w:hAnsi="Arial" w:cs="Arial"/>
                <w:bCs/>
                <w:sz w:val="22"/>
                <w:szCs w:val="22"/>
              </w:rPr>
              <w:t>OneWorld’s</w:t>
            </w:r>
            <w:proofErr w:type="spellEnd"/>
            <w:r w:rsidRPr="00C21B97">
              <w:rPr>
                <w:rFonts w:ascii="Arial" w:hAnsi="Arial" w:cs="Arial"/>
                <w:bCs/>
                <w:sz w:val="22"/>
                <w:szCs w:val="22"/>
              </w:rPr>
              <w:t xml:space="preserve"> extensive work experience within South Africa, including projects with C40 Cities South Africa, the Presidential Climate Commission (PCC), and the National Treasury Cities Support Programme (NTCSP), underpinned by its international experience across wider Africa and Asia. </w:t>
            </w:r>
          </w:p>
          <w:p w14:paraId="51147C61"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The importance of transformative adaptation under a Just Transition framework stems from the exacerbating effect of climate change on vulnerable communities. Urbanisation, particularly in Africa and Asia, has led to increasing marginalised settlements and high levels of informality in urban centres. The growing number of people in urban areas coupled with the prevalence of poverty, unemployment, and inequality within the context of rising informality demands a shift towards a low-carbon and climate resilient society which practices social and economic justice. This requires decent work and livelihoods, inclusive decision making, equitable access to resources, and ecological sustainability for all especially those communities trapped in informality and outside of the regulatory systems that are designed to ensure wellbeing, health and safety. </w:t>
            </w:r>
          </w:p>
          <w:p w14:paraId="19F47F90"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Unsustainable urbanisation and informality disproportionately impact marginalised communities and vulnerable groups including women, children, people with disabilities, the poor, and the unemployed. To mitigate and adapt to the risks and vulnerabilities in an inclusive and transformative way, enhanced readiness conditions and resilience pathways are required. There are several themes which have emerged from our ongoing work, and we expect will underpin the co-creation process foreseen in our session: </w:t>
            </w:r>
          </w:p>
          <w:p w14:paraId="53CE877C"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w:t>
            </w:r>
            <w:proofErr w:type="spellStart"/>
            <w:r w:rsidRPr="00C21B97">
              <w:rPr>
                <w:rFonts w:ascii="Arial" w:hAnsi="Arial" w:cs="Arial"/>
                <w:bCs/>
                <w:sz w:val="22"/>
                <w:szCs w:val="22"/>
              </w:rPr>
              <w:t>i</w:t>
            </w:r>
            <w:proofErr w:type="spellEnd"/>
            <w:r w:rsidRPr="00C21B97">
              <w:rPr>
                <w:rFonts w:ascii="Arial" w:hAnsi="Arial" w:cs="Arial"/>
                <w:bCs/>
                <w:sz w:val="22"/>
                <w:szCs w:val="22"/>
              </w:rPr>
              <w:t>)</w:t>
            </w:r>
            <w:r w:rsidRPr="00C21B97">
              <w:rPr>
                <w:rFonts w:ascii="Arial" w:hAnsi="Arial" w:cs="Arial"/>
                <w:bCs/>
                <w:sz w:val="22"/>
                <w:szCs w:val="22"/>
              </w:rPr>
              <w:tab/>
              <w:t>Cooperative governance</w:t>
            </w:r>
          </w:p>
          <w:p w14:paraId="35308786"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A functional cooperative governance framework provides a solid context in which to manage key risks. This must include an intergovernmental relations structure, legislative reform, an integrated strategic planning response, and an overarching enabling environment. Under a Just Transition cooperative governance should include the empowerment and enabling of local governance and traditional knowledge systems.</w:t>
            </w:r>
          </w:p>
          <w:p w14:paraId="21CBF39A"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(ii)</w:t>
            </w:r>
            <w:r w:rsidRPr="00C21B97">
              <w:rPr>
                <w:rFonts w:ascii="Arial" w:hAnsi="Arial" w:cs="Arial"/>
                <w:bCs/>
                <w:sz w:val="22"/>
                <w:szCs w:val="22"/>
              </w:rPr>
              <w:tab/>
              <w:t>Scaled climate finance</w:t>
            </w:r>
          </w:p>
          <w:p w14:paraId="284D1F35"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Climate and development finance is needed to enable transformative adaptation, cooperative governance, and to protect and enhance jobs, incomes and livelihoods. This includes financial solutions from the macroeconomic to the local level. It is important that climate finance is equitably distributed for local adaptation solutions. </w:t>
            </w:r>
          </w:p>
          <w:p w14:paraId="31B2F9F0"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(iii)</w:t>
            </w:r>
            <w:r w:rsidRPr="00C21B97">
              <w:rPr>
                <w:rFonts w:ascii="Arial" w:hAnsi="Arial" w:cs="Arial"/>
                <w:bCs/>
                <w:sz w:val="22"/>
                <w:szCs w:val="22"/>
              </w:rPr>
              <w:tab/>
              <w:t>Local capacity and competency building</w:t>
            </w:r>
          </w:p>
          <w:p w14:paraId="3A2B432E"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Local government is key to successful transformation as development occurs within local government jurisdictions. Thus, there is a need for competent, capacitated and resourced municipalities - both politically and administratively. Capacitated local government enables the planning, servicing and implementation of transformative adaptation accompanied by capacity building and empowerment opportunities among public and private practitioners.</w:t>
            </w:r>
          </w:p>
          <w:p w14:paraId="28BD1122"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lastRenderedPageBreak/>
              <w:t>(iv)</w:t>
            </w:r>
            <w:r w:rsidRPr="00C21B97">
              <w:rPr>
                <w:rFonts w:ascii="Arial" w:hAnsi="Arial" w:cs="Arial"/>
                <w:bCs/>
                <w:sz w:val="22"/>
                <w:szCs w:val="22"/>
              </w:rPr>
              <w:tab/>
              <w:t xml:space="preserve">Monitoring, evaluation and learning (MEL) </w:t>
            </w:r>
          </w:p>
          <w:p w14:paraId="7846FB86"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Enhanced readiness conditions and resilience pathways require robust MEL frameworks to strengthen integrated planning towards desired adaptation outcomes. MEL provides an overall framework for planning across the state machinery and to improve synergies and alignment of existing planning legislation, policies, instruments and processes. </w:t>
            </w:r>
          </w:p>
          <w:p w14:paraId="562C2A08"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The co-creation session will involve an in-depth examination of the prevalent climate risks and vulnerabilities accompanied by underlying themes in the development of readiness conditions and resilience pathways which must be adopted for cities, settlements, and infrastructure development to ensure transformative adaptation under a Just Transition. It will draw on key lessons and best-practice examples from </w:t>
            </w:r>
            <w:proofErr w:type="spellStart"/>
            <w:r w:rsidRPr="00C21B97">
              <w:rPr>
                <w:rFonts w:ascii="Arial" w:hAnsi="Arial" w:cs="Arial"/>
                <w:bCs/>
                <w:sz w:val="22"/>
                <w:szCs w:val="22"/>
              </w:rPr>
              <w:t>OneWorld’s</w:t>
            </w:r>
            <w:proofErr w:type="spellEnd"/>
            <w:r w:rsidRPr="00C21B97">
              <w:rPr>
                <w:rFonts w:ascii="Arial" w:hAnsi="Arial" w:cs="Arial"/>
                <w:bCs/>
                <w:sz w:val="22"/>
                <w:szCs w:val="22"/>
              </w:rPr>
              <w:t xml:space="preserve"> work. The co-creation session will be a knowledge sharing opportunity and a space for the exploration and development of ideas to enable the transformative and resilient adaptation of cities, settlements, and infrastructure with special consideration of marginalised and vulnerable communities within developing urban contexts. </w:t>
            </w:r>
          </w:p>
          <w:p w14:paraId="77555363" w14:textId="77777777" w:rsidR="00C21B97" w:rsidRPr="003A3E96" w:rsidRDefault="00C21B97" w:rsidP="0099216E">
            <w:pPr>
              <w:spacing w:before="60" w:after="60"/>
              <w:jc w:val="both"/>
              <w:rPr>
                <w:rFonts w:ascii="Arial" w:hAnsi="Arial" w:cs="Arial"/>
                <w:b/>
                <w:sz w:val="22"/>
                <w:szCs w:val="22"/>
              </w:rPr>
            </w:pPr>
            <w:r w:rsidRPr="003A3E96">
              <w:rPr>
                <w:rFonts w:ascii="Arial" w:hAnsi="Arial" w:cs="Arial"/>
                <w:b/>
                <w:sz w:val="22"/>
                <w:szCs w:val="22"/>
              </w:rPr>
              <w:t xml:space="preserve">Aims and Expected Outcomes    </w:t>
            </w:r>
          </w:p>
          <w:p w14:paraId="1F6CFF0B"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In the interest of enhancing the conditions of just adaptation readiness in cities, settlements, and infrastructure against the vulnerabilities and risks of climate change this co-creation session aims to:</w:t>
            </w:r>
          </w:p>
          <w:p w14:paraId="33810910" w14:textId="1BD7535F" w:rsidR="00C21B97" w:rsidRPr="006A440E" w:rsidRDefault="00C21B97" w:rsidP="006A440E">
            <w:pPr>
              <w:pStyle w:val="ListParagraph"/>
              <w:numPr>
                <w:ilvl w:val="0"/>
                <w:numId w:val="8"/>
              </w:numPr>
              <w:spacing w:before="60" w:after="60"/>
              <w:jc w:val="both"/>
              <w:rPr>
                <w:rFonts w:ascii="Arial" w:hAnsi="Arial" w:cs="Arial"/>
                <w:bCs/>
              </w:rPr>
            </w:pPr>
            <w:r w:rsidRPr="006A440E">
              <w:rPr>
                <w:rFonts w:ascii="Arial" w:hAnsi="Arial" w:cs="Arial"/>
                <w:bCs/>
              </w:rPr>
              <w:t xml:space="preserve">Identify and analyse vulnerabilities, readiness conditions, and resilience pathways </w:t>
            </w:r>
          </w:p>
          <w:p w14:paraId="784569E6" w14:textId="5C90E7E8" w:rsidR="00C21B97" w:rsidRPr="006A440E" w:rsidRDefault="00C21B97" w:rsidP="006A440E">
            <w:pPr>
              <w:pStyle w:val="ListParagraph"/>
              <w:numPr>
                <w:ilvl w:val="0"/>
                <w:numId w:val="8"/>
              </w:numPr>
              <w:spacing w:before="60" w:after="60"/>
              <w:jc w:val="both"/>
              <w:rPr>
                <w:rFonts w:ascii="Arial" w:hAnsi="Arial" w:cs="Arial"/>
                <w:bCs/>
              </w:rPr>
            </w:pPr>
            <w:r w:rsidRPr="006A440E">
              <w:rPr>
                <w:rFonts w:ascii="Arial" w:hAnsi="Arial" w:cs="Arial"/>
                <w:bCs/>
              </w:rPr>
              <w:t xml:space="preserve">Leverage </w:t>
            </w:r>
            <w:proofErr w:type="spellStart"/>
            <w:r w:rsidRPr="006A440E">
              <w:rPr>
                <w:rFonts w:ascii="Arial" w:hAnsi="Arial" w:cs="Arial"/>
                <w:bCs/>
              </w:rPr>
              <w:t>OneWorld’s</w:t>
            </w:r>
            <w:proofErr w:type="spellEnd"/>
            <w:r w:rsidRPr="006A440E">
              <w:rPr>
                <w:rFonts w:ascii="Arial" w:hAnsi="Arial" w:cs="Arial"/>
                <w:bCs/>
              </w:rPr>
              <w:t xml:space="preserve"> experience and best practices highlighting Global South leadership</w:t>
            </w:r>
          </w:p>
          <w:p w14:paraId="19FC9A83" w14:textId="7581500B" w:rsidR="00C21B97" w:rsidRPr="006A440E" w:rsidRDefault="00C21B97" w:rsidP="006A440E">
            <w:pPr>
              <w:pStyle w:val="ListParagraph"/>
              <w:numPr>
                <w:ilvl w:val="0"/>
                <w:numId w:val="8"/>
              </w:numPr>
              <w:spacing w:before="60" w:after="60"/>
              <w:jc w:val="both"/>
              <w:rPr>
                <w:rFonts w:ascii="Arial" w:hAnsi="Arial" w:cs="Arial"/>
                <w:bCs/>
              </w:rPr>
            </w:pPr>
            <w:r w:rsidRPr="006A440E">
              <w:rPr>
                <w:rFonts w:ascii="Arial" w:hAnsi="Arial" w:cs="Arial"/>
                <w:bCs/>
              </w:rPr>
              <w:t>Allow consideration of the need and priority of Just Transition perspectives for transformative adaptation to identify interventions</w:t>
            </w:r>
          </w:p>
          <w:p w14:paraId="0AC0541B" w14:textId="3E1C7157" w:rsidR="00C21B97" w:rsidRPr="006A440E" w:rsidRDefault="00C21B97" w:rsidP="006A440E">
            <w:pPr>
              <w:pStyle w:val="ListParagraph"/>
              <w:numPr>
                <w:ilvl w:val="0"/>
                <w:numId w:val="8"/>
              </w:numPr>
              <w:spacing w:before="60" w:after="60"/>
              <w:jc w:val="both"/>
              <w:rPr>
                <w:rFonts w:ascii="Arial" w:hAnsi="Arial" w:cs="Arial"/>
                <w:bCs/>
              </w:rPr>
            </w:pPr>
            <w:r w:rsidRPr="006A440E">
              <w:rPr>
                <w:rFonts w:ascii="Arial" w:hAnsi="Arial" w:cs="Arial"/>
                <w:bCs/>
              </w:rPr>
              <w:t>Foster further knowledge sharing and co-creation of actionable solutions</w:t>
            </w:r>
          </w:p>
          <w:p w14:paraId="0F675259"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‘Transformative Adaptation for a Just Transition: Lessons from South Africa,’ is designed to facilitate the participant-led development of Just Transition informed readiness conditions and resilience pathways. The co-creation session will encourage participants to draw from </w:t>
            </w:r>
            <w:proofErr w:type="spellStart"/>
            <w:r w:rsidRPr="00C21B97">
              <w:rPr>
                <w:rFonts w:ascii="Arial" w:hAnsi="Arial" w:cs="Arial"/>
                <w:bCs/>
                <w:sz w:val="22"/>
                <w:szCs w:val="22"/>
              </w:rPr>
              <w:t>OneWorld’s</w:t>
            </w:r>
            <w:proofErr w:type="spellEnd"/>
            <w:r w:rsidRPr="00C21B97">
              <w:rPr>
                <w:rFonts w:ascii="Arial" w:hAnsi="Arial" w:cs="Arial"/>
                <w:bCs/>
                <w:sz w:val="22"/>
                <w:szCs w:val="22"/>
              </w:rPr>
              <w:t xml:space="preserve"> transformative adaptation experience in South Africa and across wider Africa and Asia applying cooperative governance, scaled climate finance, local capacity building, and MEL as central underlying themes. Participants will explore the tenets of an enabling environment for a Just Transition in rapidly urbanising, highly </w:t>
            </w:r>
            <w:proofErr w:type="spellStart"/>
            <w:r w:rsidRPr="00C21B97">
              <w:rPr>
                <w:rFonts w:ascii="Arial" w:hAnsi="Arial" w:cs="Arial"/>
                <w:bCs/>
                <w:sz w:val="22"/>
                <w:szCs w:val="22"/>
              </w:rPr>
              <w:t>informalised</w:t>
            </w:r>
            <w:proofErr w:type="spellEnd"/>
            <w:r w:rsidRPr="00C21B97">
              <w:rPr>
                <w:rFonts w:ascii="Arial" w:hAnsi="Arial" w:cs="Arial"/>
                <w:bCs/>
                <w:sz w:val="22"/>
                <w:szCs w:val="22"/>
              </w:rPr>
              <w:t xml:space="preserve"> environments particularly inclusive of vulnerable and marginalised communities. As such, the co-creation session will provide an opportunity for participants to practice collaboratively developing and refining readiness conditions and resilience pathways of transformative adaptation to cities, settlements, and infrastructure. </w:t>
            </w:r>
          </w:p>
          <w:p w14:paraId="09CEDF33" w14:textId="0E8A1045" w:rsidR="00C21B97" w:rsidRPr="003A3E96" w:rsidRDefault="00C21B97" w:rsidP="0099216E">
            <w:pPr>
              <w:spacing w:before="60" w:after="60"/>
              <w:jc w:val="both"/>
              <w:rPr>
                <w:rFonts w:ascii="Arial" w:hAnsi="Arial" w:cs="Arial"/>
                <w:b/>
                <w:sz w:val="22"/>
                <w:szCs w:val="22"/>
              </w:rPr>
            </w:pPr>
            <w:r w:rsidRPr="003A3E96">
              <w:rPr>
                <w:rFonts w:ascii="Arial" w:hAnsi="Arial" w:cs="Arial"/>
                <w:b/>
                <w:sz w:val="22"/>
                <w:szCs w:val="22"/>
              </w:rPr>
              <w:t>Methodology,</w:t>
            </w:r>
            <w:r w:rsidR="003A3E96" w:rsidRPr="003A3E96">
              <w:rPr>
                <w:rFonts w:ascii="Arial" w:hAnsi="Arial" w:cs="Arial"/>
                <w:b/>
                <w:sz w:val="22"/>
                <w:szCs w:val="22"/>
              </w:rPr>
              <w:t xml:space="preserve"> </w:t>
            </w:r>
            <w:r w:rsidRPr="003A3E96">
              <w:rPr>
                <w:rFonts w:ascii="Arial" w:hAnsi="Arial" w:cs="Arial"/>
                <w:b/>
                <w:sz w:val="22"/>
                <w:szCs w:val="22"/>
              </w:rPr>
              <w:t>rationale for format delivery and methods for hybrid inclusivity</w:t>
            </w:r>
          </w:p>
          <w:p w14:paraId="60556A36"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The knowledge café co-creation session will follow a (</w:t>
            </w:r>
            <w:proofErr w:type="spellStart"/>
            <w:r w:rsidRPr="00C21B97">
              <w:rPr>
                <w:rFonts w:ascii="Arial" w:hAnsi="Arial" w:cs="Arial"/>
                <w:bCs/>
                <w:sz w:val="22"/>
                <w:szCs w:val="22"/>
              </w:rPr>
              <w:t>i</w:t>
            </w:r>
            <w:proofErr w:type="spellEnd"/>
            <w:r w:rsidRPr="00C21B97">
              <w:rPr>
                <w:rFonts w:ascii="Arial" w:hAnsi="Arial" w:cs="Arial"/>
                <w:bCs/>
                <w:sz w:val="22"/>
                <w:szCs w:val="22"/>
              </w:rPr>
              <w:t xml:space="preserve">) framing, (ii) roundtable discussion, (iii) collective synthesis, and (iv) action planning structure over the 90-minute time allocation. As such the session will apply a methodology of co-creation which ensures inclusive participation, practice-led knowledge exchange, and practical outcome development to meaningfully enable and empower participants. </w:t>
            </w:r>
          </w:p>
          <w:p w14:paraId="47D88CC8"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The intentional format of delivery will ensure hybrid inclusivity, ensuring wider participation and enhanced outcome opportunity functioning as an online and in-person ‘marketplace of ideas.’ The entire knowledge café co-creation session will be available </w:t>
            </w:r>
            <w:r w:rsidRPr="00C21B97">
              <w:rPr>
                <w:rFonts w:ascii="Arial" w:hAnsi="Arial" w:cs="Arial"/>
                <w:bCs/>
                <w:sz w:val="22"/>
                <w:szCs w:val="22"/>
              </w:rPr>
              <w:lastRenderedPageBreak/>
              <w:t xml:space="preserve">for joining online, with opportunities for direct engagement from online and in-person participants. </w:t>
            </w:r>
          </w:p>
          <w:p w14:paraId="599DB576"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During a round table discussion participants will join small groups (4-6 people per table) to answer the following question(s):</w:t>
            </w:r>
          </w:p>
          <w:p w14:paraId="124763C9" w14:textId="0D401F33" w:rsidR="00C21B97" w:rsidRPr="003A3E96" w:rsidRDefault="00C21B97" w:rsidP="003A3E96">
            <w:pPr>
              <w:pStyle w:val="ListParagraph"/>
              <w:numPr>
                <w:ilvl w:val="0"/>
                <w:numId w:val="5"/>
              </w:numPr>
              <w:spacing w:before="60" w:after="60"/>
              <w:jc w:val="both"/>
              <w:rPr>
                <w:rFonts w:ascii="Arial" w:hAnsi="Arial" w:cs="Arial"/>
                <w:bCs/>
              </w:rPr>
            </w:pPr>
            <w:r w:rsidRPr="003A3E96">
              <w:rPr>
                <w:rFonts w:ascii="Arial" w:hAnsi="Arial" w:cs="Arial"/>
                <w:bCs/>
              </w:rPr>
              <w:t xml:space="preserve">What are the readiness conditions and resilience pathways to enable transformative adaptation in cities, settlements and infrastructure, under a Just Transition? </w:t>
            </w:r>
          </w:p>
          <w:p w14:paraId="57CBC96B" w14:textId="7B8C8CBA" w:rsidR="00C21B97" w:rsidRPr="003A3E96" w:rsidRDefault="00C21B97" w:rsidP="003A3E96">
            <w:pPr>
              <w:pStyle w:val="ListParagraph"/>
              <w:numPr>
                <w:ilvl w:val="0"/>
                <w:numId w:val="5"/>
              </w:numPr>
              <w:spacing w:before="60" w:after="60"/>
              <w:jc w:val="both"/>
              <w:rPr>
                <w:rFonts w:ascii="Arial" w:hAnsi="Arial" w:cs="Arial"/>
                <w:bCs/>
              </w:rPr>
            </w:pPr>
            <w:r w:rsidRPr="003A3E96">
              <w:rPr>
                <w:rFonts w:ascii="Arial" w:hAnsi="Arial" w:cs="Arial"/>
                <w:bCs/>
              </w:rPr>
              <w:t xml:space="preserve">How can economic, social, and environmental justice inform and frame readiness conditions and resilience pathways?   </w:t>
            </w:r>
          </w:p>
          <w:p w14:paraId="3FFAFEF0"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Facilitators for each group will record and monitor participant responses, bringing attention to central themes and aspects for further interrogation. To ensure hybrid inclusivity online participants will be allocated to a virtual roundtable where they will be able to enter their contributions onto an on-screen </w:t>
            </w:r>
            <w:proofErr w:type="spellStart"/>
            <w:r w:rsidRPr="00C21B97">
              <w:rPr>
                <w:rFonts w:ascii="Arial" w:hAnsi="Arial" w:cs="Arial"/>
                <w:bCs/>
                <w:sz w:val="22"/>
                <w:szCs w:val="22"/>
              </w:rPr>
              <w:t>Mentimeter</w:t>
            </w:r>
            <w:proofErr w:type="spellEnd"/>
            <w:r w:rsidRPr="00C21B97">
              <w:rPr>
                <w:rFonts w:ascii="Arial" w:hAnsi="Arial" w:cs="Arial"/>
                <w:bCs/>
                <w:sz w:val="22"/>
                <w:szCs w:val="22"/>
              </w:rPr>
              <w:t xml:space="preserve">. The </w:t>
            </w:r>
            <w:proofErr w:type="spellStart"/>
            <w:r w:rsidRPr="00C21B97">
              <w:rPr>
                <w:rFonts w:ascii="Arial" w:hAnsi="Arial" w:cs="Arial"/>
                <w:bCs/>
                <w:sz w:val="22"/>
                <w:szCs w:val="22"/>
              </w:rPr>
              <w:t>Mentimeter</w:t>
            </w:r>
            <w:proofErr w:type="spellEnd"/>
            <w:r w:rsidRPr="00C21B97">
              <w:rPr>
                <w:rFonts w:ascii="Arial" w:hAnsi="Arial" w:cs="Arial"/>
                <w:bCs/>
                <w:sz w:val="22"/>
                <w:szCs w:val="22"/>
              </w:rPr>
              <w:t xml:space="preserve">, a live, interactive online polling and presentation tool, will conglomerate online participants’ responses to the roundtable discussion questions. Following the round table discussion each of the group facilitators, including one online facilitator, will present a synthesis featuring priority readiness conditions and resilience pathways framed within economic, social, and environmental justice initiatives. A brief plenary discussion will follow to cluster common themes and emerging solutions, and to refine and validate key points. The session will be concluded with a brief opportunity for action planning and suggestions of institutional arrangements based on participant co-created readiness conditions and resilience pathways. </w:t>
            </w:r>
          </w:p>
          <w:p w14:paraId="1B131AB3"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The methodology described here can be curated to maximise engagement, inclusivity, and knowledge generation while ensuring the session remains focused on co-creation rather than a passive, top-down knowledge transfer. The design will foster a participatory learning process while producing practical, actionable outcomes that contribute to a just transformative adaptation across a multitude of applications.</w:t>
            </w:r>
          </w:p>
          <w:p w14:paraId="46F412E1" w14:textId="02785A1C" w:rsidR="00C21B97" w:rsidRPr="0099216E" w:rsidRDefault="00C21B97" w:rsidP="0099216E">
            <w:pPr>
              <w:spacing w:before="60" w:after="60"/>
              <w:jc w:val="both"/>
              <w:rPr>
                <w:rFonts w:ascii="Arial" w:hAnsi="Arial" w:cs="Arial"/>
                <w:b/>
                <w:sz w:val="22"/>
                <w:szCs w:val="22"/>
              </w:rPr>
            </w:pPr>
            <w:r w:rsidRPr="0099216E">
              <w:rPr>
                <w:rFonts w:ascii="Arial" w:hAnsi="Arial" w:cs="Arial"/>
                <w:b/>
                <w:sz w:val="22"/>
                <w:szCs w:val="22"/>
              </w:rPr>
              <w:t xml:space="preserve">Target Audience </w:t>
            </w:r>
          </w:p>
          <w:p w14:paraId="1C851104"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 xml:space="preserve">The ‘Transformative Adaptation for a Just Transition: Lessons from South Africa,’ could appeal to a highly diverse group of stakeholders involved in climate adaptation, Just Transitions, and the sustainable development of cities, settlements, and infrastructure. </w:t>
            </w:r>
          </w:p>
          <w:p w14:paraId="37EA80AC" w14:textId="77777777" w:rsidR="00C21B97" w:rsidRPr="00C21B97" w:rsidRDefault="00C21B97" w:rsidP="0099216E">
            <w:pPr>
              <w:spacing w:before="60" w:after="60"/>
              <w:jc w:val="both"/>
              <w:rPr>
                <w:rFonts w:ascii="Arial" w:hAnsi="Arial" w:cs="Arial"/>
                <w:bCs/>
                <w:sz w:val="22"/>
                <w:szCs w:val="22"/>
              </w:rPr>
            </w:pPr>
            <w:r w:rsidRPr="00C21B97">
              <w:rPr>
                <w:rFonts w:ascii="Arial" w:hAnsi="Arial" w:cs="Arial"/>
                <w:bCs/>
                <w:sz w:val="22"/>
                <w:szCs w:val="22"/>
              </w:rPr>
              <w:t>Considering the aims and expected outcomes, participants in the knowledge café co-creation session may include:</w:t>
            </w:r>
          </w:p>
          <w:p w14:paraId="3A57257E" w14:textId="55820F85"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 xml:space="preserve">Policymakers and government officials </w:t>
            </w:r>
          </w:p>
          <w:p w14:paraId="3C4638E7" w14:textId="5FC225B8"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Climate finance practitioners</w:t>
            </w:r>
          </w:p>
          <w:p w14:paraId="6D01BF7F" w14:textId="4A4EC701"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 xml:space="preserve">Built environment and development practitioners </w:t>
            </w:r>
          </w:p>
          <w:p w14:paraId="771C5336" w14:textId="7179840C"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 xml:space="preserve">Research and academia </w:t>
            </w:r>
          </w:p>
          <w:p w14:paraId="14B12400" w14:textId="69046FB2"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 xml:space="preserve">Civil society and community representatives </w:t>
            </w:r>
          </w:p>
          <w:p w14:paraId="6ABEBE55" w14:textId="12202EE4"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Private sector and innovation leaders</w:t>
            </w:r>
          </w:p>
          <w:p w14:paraId="3298B4C5" w14:textId="15FF8241" w:rsidR="00C21B97"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 xml:space="preserve">Community representatives </w:t>
            </w:r>
          </w:p>
          <w:p w14:paraId="60494EBB" w14:textId="70DC96C0" w:rsidR="004A3628" w:rsidRPr="006A440E" w:rsidRDefault="00C21B97" w:rsidP="006A440E">
            <w:pPr>
              <w:pStyle w:val="ListParagraph"/>
              <w:numPr>
                <w:ilvl w:val="0"/>
                <w:numId w:val="7"/>
              </w:numPr>
              <w:spacing w:before="60" w:after="60"/>
              <w:jc w:val="both"/>
              <w:rPr>
                <w:rFonts w:ascii="Arial" w:hAnsi="Arial" w:cs="Arial"/>
                <w:bCs/>
              </w:rPr>
            </w:pPr>
            <w:r w:rsidRPr="006A440E">
              <w:rPr>
                <w:rFonts w:ascii="Arial" w:hAnsi="Arial" w:cs="Arial"/>
                <w:bCs/>
              </w:rPr>
              <w:t>International and regional climate networks</w:t>
            </w:r>
          </w:p>
          <w:p w14:paraId="2B13348F" w14:textId="275BC701" w:rsidR="00C21B97" w:rsidRPr="00C21B97" w:rsidRDefault="00C21B97" w:rsidP="00C21B97">
            <w:pPr>
              <w:jc w:val="both"/>
              <w:rPr>
                <w:rFonts w:ascii="Arial" w:hAnsi="Arial" w:cs="Arial"/>
                <w:bCs/>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6A440E">
            <w:pPr>
              <w:spacing w:before="60" w:after="60"/>
              <w:jc w:val="both"/>
              <w:rPr>
                <w:rFonts w:ascii="Arial" w:hAnsi="Arial" w:cs="Arial"/>
                <w:b/>
                <w:sz w:val="22"/>
                <w:szCs w:val="22"/>
              </w:rPr>
            </w:pPr>
            <w:r>
              <w:rPr>
                <w:rFonts w:ascii="Arial" w:hAnsi="Arial" w:cs="Arial"/>
                <w:b/>
                <w:sz w:val="22"/>
                <w:szCs w:val="22"/>
              </w:rPr>
              <w:lastRenderedPageBreak/>
              <w:t>PARTICIPANTS</w:t>
            </w:r>
          </w:p>
          <w:p w14:paraId="13A364ED" w14:textId="77777777" w:rsidR="004A3628" w:rsidRPr="00853BDB" w:rsidRDefault="004A3628" w:rsidP="006A440E">
            <w:pPr>
              <w:spacing w:before="60" w:after="60"/>
              <w:jc w:val="both"/>
              <w:rPr>
                <w:rFonts w:ascii="Arial" w:hAnsi="Arial" w:cs="Arial"/>
                <w:b/>
                <w:sz w:val="22"/>
                <w:szCs w:val="22"/>
                <w:u w:val="single"/>
              </w:rPr>
            </w:pPr>
            <w:r w:rsidRPr="00853BDB">
              <w:rPr>
                <w:rFonts w:ascii="Arial" w:hAnsi="Arial" w:cs="Arial"/>
                <w:b/>
                <w:sz w:val="22"/>
                <w:szCs w:val="22"/>
                <w:u w:val="single"/>
              </w:rPr>
              <w:t>Participant 1</w:t>
            </w:r>
          </w:p>
          <w:p w14:paraId="7E6399A8" w14:textId="6028555E" w:rsidR="004A3628" w:rsidRPr="00853BDB" w:rsidRDefault="004A3628" w:rsidP="006A440E">
            <w:pPr>
              <w:spacing w:before="60" w:after="60"/>
              <w:jc w:val="both"/>
              <w:rPr>
                <w:rFonts w:ascii="Arial" w:hAnsi="Arial" w:cs="Arial"/>
                <w:b/>
                <w:sz w:val="22"/>
                <w:szCs w:val="22"/>
              </w:rPr>
            </w:pPr>
            <w:r w:rsidRPr="00853BDB">
              <w:rPr>
                <w:rFonts w:ascii="Arial" w:hAnsi="Arial" w:cs="Arial"/>
                <w:b/>
                <w:sz w:val="22"/>
                <w:szCs w:val="22"/>
              </w:rPr>
              <w:t>Full Name:</w:t>
            </w:r>
            <w:r w:rsidR="0055674B">
              <w:rPr>
                <w:rFonts w:ascii="Arial" w:hAnsi="Arial" w:cs="Arial"/>
                <w:b/>
                <w:sz w:val="22"/>
                <w:szCs w:val="22"/>
              </w:rPr>
              <w:t xml:space="preserve"> </w:t>
            </w:r>
            <w:r w:rsidR="0055674B" w:rsidRPr="0055674B">
              <w:rPr>
                <w:rFonts w:ascii="Arial" w:hAnsi="Arial" w:cs="Arial"/>
                <w:bCs/>
                <w:sz w:val="22"/>
                <w:szCs w:val="22"/>
              </w:rPr>
              <w:t>Cathy Kerubo</w:t>
            </w:r>
          </w:p>
          <w:p w14:paraId="4E0ABFC3" w14:textId="79D9E03A" w:rsidR="004A3628" w:rsidRPr="00853BDB" w:rsidRDefault="004A3628" w:rsidP="006A440E">
            <w:pPr>
              <w:spacing w:before="60" w:after="60"/>
              <w:jc w:val="both"/>
              <w:rPr>
                <w:rFonts w:ascii="Arial" w:hAnsi="Arial" w:cs="Arial"/>
                <w:b/>
                <w:sz w:val="22"/>
                <w:szCs w:val="22"/>
              </w:rPr>
            </w:pPr>
            <w:r w:rsidRPr="00853BDB">
              <w:rPr>
                <w:rFonts w:ascii="Arial" w:hAnsi="Arial" w:cs="Arial"/>
                <w:b/>
                <w:sz w:val="22"/>
                <w:szCs w:val="22"/>
              </w:rPr>
              <w:t>Organisation:</w:t>
            </w:r>
            <w:r w:rsidR="0055674B">
              <w:rPr>
                <w:rFonts w:ascii="Arial" w:hAnsi="Arial" w:cs="Arial"/>
                <w:b/>
                <w:sz w:val="22"/>
                <w:szCs w:val="22"/>
              </w:rPr>
              <w:t xml:space="preserve"> </w:t>
            </w:r>
            <w:r w:rsidR="0055674B" w:rsidRPr="0055674B">
              <w:rPr>
                <w:rFonts w:ascii="Arial" w:hAnsi="Arial" w:cs="Arial"/>
                <w:bCs/>
                <w:sz w:val="22"/>
                <w:szCs w:val="22"/>
              </w:rPr>
              <w:t>C40 Cities</w:t>
            </w:r>
            <w:r w:rsidR="0055674B">
              <w:rPr>
                <w:rFonts w:ascii="Arial" w:hAnsi="Arial" w:cs="Arial"/>
                <w:b/>
                <w:sz w:val="22"/>
                <w:szCs w:val="22"/>
              </w:rPr>
              <w:t xml:space="preserve"> </w:t>
            </w:r>
          </w:p>
          <w:p w14:paraId="6D637355" w14:textId="01669417" w:rsidR="004A3628" w:rsidRPr="0055674B" w:rsidRDefault="004A3628" w:rsidP="006A440E">
            <w:pPr>
              <w:spacing w:before="60" w:after="60"/>
              <w:jc w:val="both"/>
              <w:rPr>
                <w:rFonts w:ascii="Arial" w:hAnsi="Arial" w:cs="Arial"/>
                <w:b/>
                <w:sz w:val="22"/>
                <w:szCs w:val="22"/>
              </w:rPr>
            </w:pPr>
            <w:r w:rsidRPr="00853BDB">
              <w:rPr>
                <w:rFonts w:ascii="Arial" w:hAnsi="Arial" w:cs="Arial"/>
                <w:b/>
                <w:sz w:val="22"/>
                <w:szCs w:val="22"/>
              </w:rPr>
              <w:lastRenderedPageBreak/>
              <w:t>Bio</w:t>
            </w:r>
            <w:r w:rsidR="0055674B">
              <w:rPr>
                <w:rFonts w:ascii="Arial" w:hAnsi="Arial" w:cs="Arial"/>
                <w:b/>
                <w:sz w:val="22"/>
                <w:szCs w:val="22"/>
              </w:rPr>
              <w:t xml:space="preserve">: </w:t>
            </w:r>
            <w:r w:rsidR="0055674B" w:rsidRPr="0055674B">
              <w:rPr>
                <w:rFonts w:ascii="Arial" w:hAnsi="Arial" w:cs="Arial"/>
                <w:bCs/>
                <w:sz w:val="22"/>
                <w:szCs w:val="22"/>
              </w:rPr>
              <w:t>Cathy Kerubo is the Inclusive Climate Action and Mainstreaming Senior Manager,</w:t>
            </w:r>
            <w:r w:rsidR="0055674B">
              <w:rPr>
                <w:rFonts w:ascii="Arial" w:hAnsi="Arial" w:cs="Arial"/>
                <w:bCs/>
                <w:sz w:val="22"/>
                <w:szCs w:val="22"/>
              </w:rPr>
              <w:t xml:space="preserve"> Africa at </w:t>
            </w:r>
            <w:r w:rsidR="0055674B" w:rsidRPr="0055674B">
              <w:rPr>
                <w:rFonts w:ascii="Arial" w:hAnsi="Arial" w:cs="Arial"/>
                <w:bCs/>
                <w:sz w:val="22"/>
                <w:szCs w:val="22"/>
              </w:rPr>
              <w:t>C40, supporting seven African cities in climate governance. With 10 years of experience in policy, development, and social inclusion, she has worked with governments, UN agencies, and regional bodies, earning recognition as a global policy leader.</w:t>
            </w:r>
          </w:p>
          <w:p w14:paraId="6342EAB6" w14:textId="77777777" w:rsidR="004A3628" w:rsidRDefault="004A3628" w:rsidP="006A440E">
            <w:pPr>
              <w:spacing w:before="60" w:after="60"/>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4C5BBABB" w14:textId="5323525A" w:rsidR="0055674B" w:rsidRPr="0055674B" w:rsidRDefault="0055674B" w:rsidP="006A440E">
            <w:pPr>
              <w:spacing w:before="60" w:after="60"/>
              <w:jc w:val="both"/>
              <w:rPr>
                <w:rFonts w:ascii="Arial" w:hAnsi="Arial" w:cs="Arial"/>
                <w:sz w:val="22"/>
                <w:szCs w:val="22"/>
              </w:rPr>
            </w:pPr>
            <w:r w:rsidRPr="0055674B">
              <w:rPr>
                <w:rFonts w:ascii="Arial" w:hAnsi="Arial" w:cs="Arial"/>
                <w:sz w:val="22"/>
                <w:szCs w:val="22"/>
              </w:rPr>
              <w:t>Cathy Kerubo</w:t>
            </w:r>
            <w:r>
              <w:rPr>
                <w:rFonts w:ascii="Arial" w:hAnsi="Arial" w:cs="Arial"/>
                <w:sz w:val="22"/>
                <w:szCs w:val="22"/>
              </w:rPr>
              <w:t xml:space="preserve"> brings </w:t>
            </w:r>
            <w:r w:rsidRPr="0055674B">
              <w:rPr>
                <w:rFonts w:ascii="Arial" w:hAnsi="Arial" w:cs="Arial"/>
                <w:sz w:val="22"/>
                <w:szCs w:val="22"/>
              </w:rPr>
              <w:t>expertise in inclusive climate action and governance mainstreaming, focusing on integrating just and transformative adaptation into urban resilience strategies. Drawing from her role at C40’s UCAP Climate Action Implementation Programme, she will highlight best practices for embedding climate policies across governance levels.</w:t>
            </w:r>
          </w:p>
          <w:p w14:paraId="7A7201BF" w14:textId="3EA9F773" w:rsidR="0055674B" w:rsidRPr="0055674B" w:rsidRDefault="0055674B" w:rsidP="006A440E">
            <w:pPr>
              <w:spacing w:before="60" w:after="60"/>
              <w:jc w:val="both"/>
              <w:rPr>
                <w:rFonts w:ascii="Arial" w:hAnsi="Arial" w:cs="Arial"/>
                <w:sz w:val="22"/>
                <w:szCs w:val="22"/>
              </w:rPr>
            </w:pPr>
            <w:r w:rsidRPr="0055674B">
              <w:rPr>
                <w:rFonts w:ascii="Arial" w:hAnsi="Arial" w:cs="Arial"/>
                <w:sz w:val="22"/>
                <w:szCs w:val="22"/>
              </w:rPr>
              <w:t>Her insights will emphasi</w:t>
            </w:r>
            <w:r>
              <w:rPr>
                <w:rFonts w:ascii="Arial" w:hAnsi="Arial" w:cs="Arial"/>
                <w:sz w:val="22"/>
                <w:szCs w:val="22"/>
              </w:rPr>
              <w:t>s</w:t>
            </w:r>
            <w:r w:rsidRPr="0055674B">
              <w:rPr>
                <w:rFonts w:ascii="Arial" w:hAnsi="Arial" w:cs="Arial"/>
                <w:sz w:val="22"/>
                <w:szCs w:val="22"/>
              </w:rPr>
              <w:t>e vertical integration</w:t>
            </w:r>
            <w:r>
              <w:rPr>
                <w:rFonts w:ascii="Arial" w:hAnsi="Arial" w:cs="Arial"/>
                <w:sz w:val="22"/>
                <w:szCs w:val="22"/>
              </w:rPr>
              <w:t xml:space="preserve">, </w:t>
            </w:r>
            <w:r w:rsidRPr="0055674B">
              <w:rPr>
                <w:rFonts w:ascii="Arial" w:hAnsi="Arial" w:cs="Arial"/>
                <w:sz w:val="22"/>
                <w:szCs w:val="22"/>
              </w:rPr>
              <w:t>strengthening coordination between local, regional, and national governments</w:t>
            </w:r>
            <w:r>
              <w:rPr>
                <w:rFonts w:ascii="Arial" w:hAnsi="Arial" w:cs="Arial"/>
                <w:sz w:val="22"/>
                <w:szCs w:val="22"/>
              </w:rPr>
              <w:t xml:space="preserve">, </w:t>
            </w:r>
            <w:r w:rsidRPr="0055674B">
              <w:rPr>
                <w:rFonts w:ascii="Arial" w:hAnsi="Arial" w:cs="Arial"/>
                <w:sz w:val="22"/>
                <w:szCs w:val="22"/>
              </w:rPr>
              <w:t>to facilitate a Just Transition. She will also discuss stakeholder engagement approaches that ensure marginali</w:t>
            </w:r>
            <w:r>
              <w:rPr>
                <w:rFonts w:ascii="Arial" w:hAnsi="Arial" w:cs="Arial"/>
                <w:sz w:val="22"/>
                <w:szCs w:val="22"/>
              </w:rPr>
              <w:t>s</w:t>
            </w:r>
            <w:r w:rsidRPr="0055674B">
              <w:rPr>
                <w:rFonts w:ascii="Arial" w:hAnsi="Arial" w:cs="Arial"/>
                <w:sz w:val="22"/>
                <w:szCs w:val="22"/>
              </w:rPr>
              <w:t>ed communities, including women, youth, and informal settlement residents, are active participants in climate adaptation planning.</w:t>
            </w:r>
          </w:p>
          <w:p w14:paraId="355DF01E" w14:textId="77777777" w:rsidR="0055674B" w:rsidRPr="0055674B" w:rsidRDefault="0055674B" w:rsidP="006A440E">
            <w:pPr>
              <w:spacing w:before="60" w:after="60"/>
              <w:jc w:val="both"/>
              <w:rPr>
                <w:rFonts w:ascii="Arial" w:hAnsi="Arial" w:cs="Arial"/>
                <w:sz w:val="22"/>
                <w:szCs w:val="22"/>
              </w:rPr>
            </w:pPr>
            <w:r w:rsidRPr="0055674B">
              <w:rPr>
                <w:rFonts w:ascii="Arial" w:hAnsi="Arial" w:cs="Arial"/>
                <w:sz w:val="22"/>
                <w:szCs w:val="22"/>
              </w:rPr>
              <w:t>With extensive experience in policy implementation, UN partnerships, and regional policymaking, Cathy will help shape discussions on actionable pathways for readiness conditions and resilience strategies. Her expertise in accountability frameworks will guide participants on measuring progress and ensuring commitments translate into tangible, just, and sustainable urban development outcomes.</w:t>
            </w:r>
          </w:p>
          <w:p w14:paraId="5543BA27" w14:textId="6FD6903B" w:rsidR="0055674B" w:rsidRPr="0055674B" w:rsidRDefault="0055674B" w:rsidP="006A440E">
            <w:pPr>
              <w:spacing w:before="60" w:after="60"/>
              <w:jc w:val="both"/>
              <w:rPr>
                <w:rFonts w:ascii="Arial" w:hAnsi="Arial" w:cs="Arial"/>
                <w:sz w:val="22"/>
                <w:szCs w:val="22"/>
              </w:rPr>
            </w:pPr>
            <w:r w:rsidRPr="0055674B">
              <w:rPr>
                <w:rFonts w:ascii="Arial" w:hAnsi="Arial" w:cs="Arial"/>
                <w:sz w:val="22"/>
                <w:szCs w:val="22"/>
              </w:rPr>
              <w:t>Her participation will bring a strong policy-driven perspective, bridging high-level climate commitments with locali</w:t>
            </w:r>
            <w:r>
              <w:rPr>
                <w:rFonts w:ascii="Arial" w:hAnsi="Arial" w:cs="Arial"/>
                <w:sz w:val="22"/>
                <w:szCs w:val="22"/>
              </w:rPr>
              <w:t>s</w:t>
            </w:r>
            <w:r w:rsidRPr="0055674B">
              <w:rPr>
                <w:rFonts w:ascii="Arial" w:hAnsi="Arial" w:cs="Arial"/>
                <w:sz w:val="22"/>
                <w:szCs w:val="22"/>
              </w:rPr>
              <w:t>ed, people-centered implementation strategies.</w:t>
            </w:r>
          </w:p>
          <w:p w14:paraId="57105208" w14:textId="77777777" w:rsidR="0055674B" w:rsidRDefault="0055674B" w:rsidP="006A440E">
            <w:pPr>
              <w:spacing w:before="60" w:after="60"/>
              <w:jc w:val="both"/>
              <w:rPr>
                <w:rFonts w:ascii="Arial" w:hAnsi="Arial" w:cs="Arial"/>
                <w:sz w:val="22"/>
                <w:szCs w:val="22"/>
              </w:rPr>
            </w:pPr>
          </w:p>
          <w:p w14:paraId="5657E8AD" w14:textId="156822EB" w:rsidR="004A3628" w:rsidRPr="00853BDB" w:rsidRDefault="004A3628" w:rsidP="006A440E">
            <w:pPr>
              <w:spacing w:before="60" w:after="60"/>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13535FBA" w:rsidR="004A3628" w:rsidRPr="00324C88" w:rsidRDefault="004A3628" w:rsidP="006A440E">
            <w:pPr>
              <w:spacing w:before="60" w:after="60"/>
              <w:jc w:val="both"/>
              <w:rPr>
                <w:rFonts w:ascii="Arial" w:hAnsi="Arial" w:cs="Arial"/>
                <w:b/>
                <w:sz w:val="22"/>
                <w:szCs w:val="22"/>
                <w:lang w:val="en-ZA"/>
              </w:rPr>
            </w:pPr>
            <w:r w:rsidRPr="00853BDB">
              <w:rPr>
                <w:rFonts w:ascii="Arial" w:hAnsi="Arial" w:cs="Arial"/>
                <w:b/>
                <w:sz w:val="22"/>
                <w:szCs w:val="22"/>
              </w:rPr>
              <w:t>Full Name:</w:t>
            </w:r>
            <w:r w:rsidR="0055674B">
              <w:rPr>
                <w:rFonts w:ascii="Arial" w:hAnsi="Arial" w:cs="Arial"/>
                <w:b/>
                <w:sz w:val="22"/>
                <w:szCs w:val="22"/>
              </w:rPr>
              <w:t xml:space="preserve"> </w:t>
            </w:r>
            <w:r w:rsidR="00324C88" w:rsidRPr="00324C88">
              <w:rPr>
                <w:rFonts w:ascii="Arial" w:hAnsi="Arial" w:cs="Arial"/>
                <w:sz w:val="22"/>
                <w:szCs w:val="22"/>
                <w:lang w:val="en-GB"/>
              </w:rPr>
              <w:t>Dawn McCarthy</w:t>
            </w:r>
          </w:p>
          <w:p w14:paraId="048F14DC" w14:textId="41873D9C" w:rsidR="004A3628" w:rsidRPr="00853BDB" w:rsidRDefault="004A3628" w:rsidP="006A440E">
            <w:pPr>
              <w:spacing w:before="60" w:after="60"/>
              <w:jc w:val="both"/>
              <w:rPr>
                <w:rFonts w:ascii="Arial" w:hAnsi="Arial" w:cs="Arial"/>
                <w:b/>
                <w:sz w:val="22"/>
                <w:szCs w:val="22"/>
              </w:rPr>
            </w:pPr>
            <w:r w:rsidRPr="00853BDB">
              <w:rPr>
                <w:rFonts w:ascii="Arial" w:hAnsi="Arial" w:cs="Arial"/>
                <w:b/>
                <w:sz w:val="22"/>
                <w:szCs w:val="22"/>
              </w:rPr>
              <w:t>Organisation:</w:t>
            </w:r>
            <w:r w:rsidR="00324C88">
              <w:rPr>
                <w:rFonts w:ascii="Arial" w:hAnsi="Arial" w:cs="Arial"/>
                <w:b/>
                <w:sz w:val="22"/>
                <w:szCs w:val="22"/>
              </w:rPr>
              <w:t xml:space="preserve"> </w:t>
            </w:r>
            <w:proofErr w:type="spellStart"/>
            <w:r w:rsidR="00324C88" w:rsidRPr="00064455">
              <w:rPr>
                <w:rFonts w:ascii="Arial" w:hAnsi="Arial" w:cs="Arial"/>
                <w:bCs/>
                <w:sz w:val="22"/>
                <w:szCs w:val="22"/>
              </w:rPr>
              <w:t>OneWorld</w:t>
            </w:r>
            <w:proofErr w:type="spellEnd"/>
            <w:r w:rsidR="00324C88" w:rsidRPr="00064455">
              <w:rPr>
                <w:rFonts w:ascii="Arial" w:hAnsi="Arial" w:cs="Arial"/>
                <w:bCs/>
                <w:sz w:val="22"/>
                <w:szCs w:val="22"/>
              </w:rPr>
              <w:t xml:space="preserve"> Sustainable Investments</w:t>
            </w:r>
            <w:r w:rsidR="00324C88">
              <w:rPr>
                <w:rFonts w:ascii="Arial" w:hAnsi="Arial" w:cs="Arial"/>
                <w:b/>
                <w:sz w:val="22"/>
                <w:szCs w:val="22"/>
              </w:rPr>
              <w:t xml:space="preserve"> </w:t>
            </w:r>
          </w:p>
          <w:p w14:paraId="001FFF36" w14:textId="2968ADA7" w:rsidR="004A3628" w:rsidRDefault="004A3628" w:rsidP="006A440E">
            <w:pPr>
              <w:spacing w:before="60" w:after="60"/>
              <w:jc w:val="both"/>
              <w:rPr>
                <w:rFonts w:ascii="Arial" w:hAnsi="Arial" w:cs="Arial"/>
                <w:b/>
                <w:sz w:val="22"/>
                <w:szCs w:val="22"/>
              </w:rPr>
            </w:pPr>
            <w:r w:rsidRPr="00853BDB">
              <w:rPr>
                <w:rFonts w:ascii="Arial" w:hAnsi="Arial" w:cs="Arial"/>
                <w:b/>
                <w:sz w:val="22"/>
                <w:szCs w:val="22"/>
              </w:rPr>
              <w:t>Bio</w:t>
            </w:r>
            <w:r w:rsidR="00064455">
              <w:rPr>
                <w:rFonts w:ascii="Arial" w:hAnsi="Arial" w:cs="Arial"/>
                <w:b/>
                <w:sz w:val="22"/>
                <w:szCs w:val="22"/>
              </w:rPr>
              <w:t>:</w:t>
            </w:r>
            <w:r w:rsidRPr="00853BDB">
              <w:rPr>
                <w:rFonts w:ascii="Arial" w:hAnsi="Arial" w:cs="Arial"/>
                <w:b/>
                <w:sz w:val="22"/>
                <w:szCs w:val="22"/>
              </w:rPr>
              <w:t xml:space="preserve"> </w:t>
            </w:r>
          </w:p>
          <w:p w14:paraId="668E7270" w14:textId="7941FCD0" w:rsidR="004A3628" w:rsidRPr="0024399E" w:rsidRDefault="0024399E" w:rsidP="006A440E">
            <w:pPr>
              <w:spacing w:before="60" w:after="60"/>
              <w:jc w:val="both"/>
              <w:rPr>
                <w:rFonts w:ascii="Arial" w:hAnsi="Arial" w:cs="Arial"/>
                <w:bCs/>
                <w:sz w:val="22"/>
                <w:szCs w:val="22"/>
              </w:rPr>
            </w:pPr>
            <w:r w:rsidRPr="0024399E">
              <w:rPr>
                <w:rFonts w:ascii="Arial" w:hAnsi="Arial" w:cs="Arial"/>
                <w:bCs/>
                <w:sz w:val="22"/>
                <w:szCs w:val="22"/>
              </w:rPr>
              <w:t xml:space="preserve">Dawn McCarthy is a Senior Associate at </w:t>
            </w:r>
            <w:proofErr w:type="spellStart"/>
            <w:r w:rsidRPr="0024399E">
              <w:rPr>
                <w:rFonts w:ascii="Arial" w:hAnsi="Arial" w:cs="Arial"/>
                <w:bCs/>
                <w:sz w:val="22"/>
                <w:szCs w:val="22"/>
              </w:rPr>
              <w:t>OneWorld</w:t>
            </w:r>
            <w:proofErr w:type="spellEnd"/>
            <w:r w:rsidRPr="0024399E">
              <w:rPr>
                <w:rFonts w:ascii="Arial" w:hAnsi="Arial" w:cs="Arial"/>
                <w:bCs/>
                <w:sz w:val="22"/>
                <w:szCs w:val="22"/>
              </w:rPr>
              <w:t xml:space="preserve">. She holds a B.Sc. Town and Regional Planning from the University of the Witwatersrand. Before joining </w:t>
            </w:r>
            <w:proofErr w:type="spellStart"/>
            <w:r w:rsidRPr="0024399E">
              <w:rPr>
                <w:rFonts w:ascii="Arial" w:hAnsi="Arial" w:cs="Arial"/>
                <w:bCs/>
                <w:sz w:val="22"/>
                <w:szCs w:val="22"/>
              </w:rPr>
              <w:t>OneWorld</w:t>
            </w:r>
            <w:proofErr w:type="spellEnd"/>
            <w:r w:rsidRPr="0024399E">
              <w:rPr>
                <w:rFonts w:ascii="Arial" w:hAnsi="Arial" w:cs="Arial"/>
                <w:bCs/>
                <w:sz w:val="22"/>
                <w:szCs w:val="22"/>
              </w:rPr>
              <w:t>, she was a Senior Director of Strategic Planning and Coordination</w:t>
            </w:r>
            <w:r w:rsidR="00F030C8">
              <w:rPr>
                <w:rFonts w:ascii="Arial" w:hAnsi="Arial" w:cs="Arial"/>
                <w:bCs/>
                <w:sz w:val="22"/>
                <w:szCs w:val="22"/>
              </w:rPr>
              <w:t xml:space="preserve"> </w:t>
            </w:r>
            <w:r w:rsidRPr="0024399E">
              <w:rPr>
                <w:rFonts w:ascii="Arial" w:hAnsi="Arial" w:cs="Arial"/>
                <w:bCs/>
                <w:sz w:val="22"/>
                <w:szCs w:val="22"/>
              </w:rPr>
              <w:t>at Nelson Mandela Bay Municipality</w:t>
            </w:r>
            <w:r w:rsidR="00F030C8">
              <w:rPr>
                <w:rFonts w:ascii="Arial" w:hAnsi="Arial" w:cs="Arial"/>
                <w:bCs/>
                <w:sz w:val="22"/>
                <w:szCs w:val="22"/>
              </w:rPr>
              <w:t xml:space="preserve">. </w:t>
            </w:r>
            <w:r w:rsidRPr="0024399E">
              <w:rPr>
                <w:rFonts w:ascii="Arial" w:hAnsi="Arial" w:cs="Arial"/>
                <w:bCs/>
                <w:sz w:val="22"/>
                <w:szCs w:val="22"/>
              </w:rPr>
              <w:t>Dawn has more than 30 years of experience in sustainable municipal development</w:t>
            </w:r>
            <w:r w:rsidR="00F030C8">
              <w:rPr>
                <w:rFonts w:ascii="Arial" w:hAnsi="Arial" w:cs="Arial"/>
                <w:bCs/>
                <w:sz w:val="22"/>
                <w:szCs w:val="22"/>
              </w:rPr>
              <w:t xml:space="preserve">. </w:t>
            </w:r>
          </w:p>
          <w:p w14:paraId="1ACCC1C4" w14:textId="1767BE01" w:rsidR="004A3628" w:rsidRDefault="004A3628" w:rsidP="006A440E">
            <w:pPr>
              <w:spacing w:before="60" w:after="60"/>
              <w:jc w:val="both"/>
              <w:rPr>
                <w:rFonts w:ascii="Arial" w:hAnsi="Arial" w:cs="Arial"/>
                <w:bCs/>
                <w:sz w:val="22"/>
                <w:szCs w:val="22"/>
              </w:rPr>
            </w:pPr>
          </w:p>
          <w:p w14:paraId="3C323500" w14:textId="77777777" w:rsidR="004A3628" w:rsidRPr="00853BDB" w:rsidRDefault="004A3628" w:rsidP="006A440E">
            <w:pPr>
              <w:spacing w:before="60" w:after="60"/>
              <w:jc w:val="both"/>
              <w:rPr>
                <w:rFonts w:ascii="Arial" w:hAnsi="Arial" w:cs="Arial"/>
                <w:bCs/>
                <w:sz w:val="22"/>
                <w:szCs w:val="22"/>
              </w:rPr>
            </w:pPr>
          </w:p>
          <w:p w14:paraId="6D2825B4" w14:textId="77777777" w:rsidR="004A3628" w:rsidRDefault="004A3628" w:rsidP="006A440E">
            <w:pPr>
              <w:spacing w:before="60" w:after="60"/>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383B4907" w14:textId="3CA9926A" w:rsidR="004A3628" w:rsidRDefault="004A3628" w:rsidP="006A440E">
            <w:pPr>
              <w:spacing w:before="60" w:after="60"/>
              <w:jc w:val="both"/>
              <w:rPr>
                <w:rFonts w:ascii="Arial" w:hAnsi="Arial" w:cs="Arial"/>
                <w:sz w:val="22"/>
                <w:szCs w:val="22"/>
              </w:rPr>
            </w:pPr>
          </w:p>
          <w:p w14:paraId="6DF7BB79" w14:textId="77777777" w:rsidR="00950D82" w:rsidRPr="00950D82" w:rsidRDefault="00950D82" w:rsidP="00950D82">
            <w:pPr>
              <w:spacing w:before="60" w:after="60"/>
              <w:jc w:val="both"/>
              <w:rPr>
                <w:rFonts w:ascii="Arial" w:hAnsi="Arial" w:cs="Arial"/>
                <w:sz w:val="22"/>
                <w:szCs w:val="22"/>
              </w:rPr>
            </w:pPr>
            <w:r w:rsidRPr="00950D82">
              <w:rPr>
                <w:rFonts w:ascii="Arial" w:hAnsi="Arial" w:cs="Arial"/>
                <w:sz w:val="22"/>
                <w:szCs w:val="22"/>
              </w:rPr>
              <w:t xml:space="preserve">For 9 years Dawn was the National Treasury City Support Programme (CSP) Coordinator for Nelson Mandela Bay municipality and as such this led to an in-depth involvement in all the CSP initiatives in the city as well as the range of transversal, programmes, forums and initiatives run by the CSP across all metropolitan municipalities in the country. These have included focused interventions on Climate Resilience, Leadership and Governance, Economic Development, Public Transport, Fiscal and Planning Reforms, Infrastructure Development and Financing and Human Settlements. </w:t>
            </w:r>
          </w:p>
          <w:p w14:paraId="215CCFCB" w14:textId="53DFFE20" w:rsidR="00B74AC2" w:rsidRDefault="00950D82" w:rsidP="00950D82">
            <w:pPr>
              <w:spacing w:before="60" w:after="60"/>
              <w:jc w:val="both"/>
              <w:rPr>
                <w:rFonts w:ascii="Arial" w:hAnsi="Arial" w:cs="Arial"/>
                <w:sz w:val="22"/>
                <w:szCs w:val="22"/>
              </w:rPr>
            </w:pPr>
            <w:r w:rsidRPr="00950D82">
              <w:rPr>
                <w:rFonts w:ascii="Arial" w:hAnsi="Arial" w:cs="Arial"/>
                <w:sz w:val="22"/>
                <w:szCs w:val="22"/>
              </w:rPr>
              <w:t xml:space="preserve">At </w:t>
            </w:r>
            <w:proofErr w:type="spellStart"/>
            <w:r w:rsidRPr="00950D82">
              <w:rPr>
                <w:rFonts w:ascii="Arial" w:hAnsi="Arial" w:cs="Arial"/>
                <w:sz w:val="22"/>
                <w:szCs w:val="22"/>
              </w:rPr>
              <w:t>OneWorld</w:t>
            </w:r>
            <w:proofErr w:type="spellEnd"/>
            <w:r w:rsidRPr="00950D82">
              <w:rPr>
                <w:rFonts w:ascii="Arial" w:hAnsi="Arial" w:cs="Arial"/>
                <w:sz w:val="22"/>
                <w:szCs w:val="22"/>
              </w:rPr>
              <w:t xml:space="preserve">, she is involved in a senior capacity in the project “Technical Assistance to the Cities Support Programme (CSP): Climate Resilience Projects Strengthening </w:t>
            </w:r>
            <w:r w:rsidRPr="00950D82">
              <w:rPr>
                <w:rFonts w:ascii="Arial" w:hAnsi="Arial" w:cs="Arial"/>
                <w:sz w:val="22"/>
                <w:szCs w:val="22"/>
              </w:rPr>
              <w:lastRenderedPageBreak/>
              <w:t xml:space="preserve">Intergovernmental Coordination” for the Government Technical Advisory (GTAC) of the South African National Treasury, as well as providing expert input to a Presidential Climate Commission report on the Built Environment. </w:t>
            </w:r>
          </w:p>
          <w:p w14:paraId="7D37857D" w14:textId="0FCCBE34" w:rsidR="004A3628" w:rsidRPr="00B73D35" w:rsidRDefault="00950D82" w:rsidP="000D2049">
            <w:pPr>
              <w:spacing w:before="60" w:after="60"/>
              <w:jc w:val="both"/>
              <w:rPr>
                <w:rFonts w:ascii="Arial" w:hAnsi="Arial" w:cs="Arial"/>
                <w:sz w:val="22"/>
                <w:szCs w:val="22"/>
              </w:rPr>
            </w:pPr>
            <w:r>
              <w:rPr>
                <w:rFonts w:ascii="Arial" w:hAnsi="Arial" w:cs="Arial"/>
                <w:sz w:val="22"/>
                <w:szCs w:val="22"/>
              </w:rPr>
              <w:t xml:space="preserve">Her experience makes her suited to </w:t>
            </w:r>
            <w:r w:rsidR="00B73D35">
              <w:rPr>
                <w:rFonts w:ascii="Arial" w:hAnsi="Arial" w:cs="Arial"/>
                <w:sz w:val="22"/>
                <w:szCs w:val="22"/>
              </w:rPr>
              <w:t xml:space="preserve">speak authoritatively on this subject. </w:t>
            </w:r>
          </w:p>
        </w:tc>
      </w:tr>
      <w:tr w:rsidR="000D2049" w:rsidRPr="0003525D" w14:paraId="31F8B157" w14:textId="77777777" w:rsidTr="00D13086">
        <w:trPr>
          <w:trHeight w:val="576"/>
        </w:trPr>
        <w:tc>
          <w:tcPr>
            <w:tcW w:w="8640" w:type="dxa"/>
          </w:tcPr>
          <w:p w14:paraId="7FCB368D" w14:textId="4E9B0714" w:rsidR="000D2049" w:rsidRPr="00B03E7E" w:rsidRDefault="000D2049" w:rsidP="00B03E7E">
            <w:pPr>
              <w:spacing w:before="60" w:after="60"/>
              <w:jc w:val="both"/>
              <w:rPr>
                <w:rFonts w:ascii="Arial" w:hAnsi="Arial" w:cs="Arial"/>
                <w:b/>
              </w:rPr>
            </w:pPr>
            <w:r w:rsidRPr="00B03E7E">
              <w:rPr>
                <w:rFonts w:ascii="Arial" w:hAnsi="Arial" w:cs="Arial"/>
                <w:b/>
              </w:rPr>
              <w:lastRenderedPageBreak/>
              <w:t xml:space="preserve"> </w:t>
            </w:r>
          </w:p>
        </w:tc>
      </w:tr>
    </w:tbl>
    <w:p w14:paraId="6327ECBB" w14:textId="77777777" w:rsidR="00703A27" w:rsidRDefault="00703A27" w:rsidP="00064455"/>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91A"/>
    <w:multiLevelType w:val="hybridMultilevel"/>
    <w:tmpl w:val="A364E670"/>
    <w:lvl w:ilvl="0" w:tplc="F6D86EE4">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2AC2358"/>
    <w:multiLevelType w:val="hybridMultilevel"/>
    <w:tmpl w:val="9A66E0AE"/>
    <w:lvl w:ilvl="0" w:tplc="8E4EB6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3C54CB1"/>
    <w:multiLevelType w:val="hybridMultilevel"/>
    <w:tmpl w:val="C40EE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50B1C29"/>
    <w:multiLevelType w:val="hybridMultilevel"/>
    <w:tmpl w:val="2206A968"/>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3CF7191B"/>
    <w:multiLevelType w:val="hybridMultilevel"/>
    <w:tmpl w:val="C94C0DE4"/>
    <w:lvl w:ilvl="0" w:tplc="04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12A55E9"/>
    <w:multiLevelType w:val="hybridMultilevel"/>
    <w:tmpl w:val="488EEC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4CC3992"/>
    <w:multiLevelType w:val="hybridMultilevel"/>
    <w:tmpl w:val="BCE06A48"/>
    <w:lvl w:ilvl="0" w:tplc="6360CA2E">
      <w:start w:val="2"/>
      <w:numFmt w:val="bullet"/>
      <w:lvlText w:val="•"/>
      <w:lvlJc w:val="left"/>
      <w:pPr>
        <w:ind w:left="1080" w:hanging="720"/>
      </w:pPr>
      <w:rPr>
        <w:rFonts w:ascii="Arial" w:eastAsiaTheme="minorEastAsia"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08686634">
    <w:abstractNumId w:val="5"/>
  </w:num>
  <w:num w:numId="2" w16cid:durableId="921792803">
    <w:abstractNumId w:val="3"/>
  </w:num>
  <w:num w:numId="3" w16cid:durableId="1637754608">
    <w:abstractNumId w:val="3"/>
  </w:num>
  <w:num w:numId="4" w16cid:durableId="2145270049">
    <w:abstractNumId w:val="6"/>
  </w:num>
  <w:num w:numId="5" w16cid:durableId="1734768751">
    <w:abstractNumId w:val="0"/>
  </w:num>
  <w:num w:numId="6" w16cid:durableId="1284966401">
    <w:abstractNumId w:val="2"/>
  </w:num>
  <w:num w:numId="7" w16cid:durableId="622007628">
    <w:abstractNumId w:val="7"/>
  </w:num>
  <w:num w:numId="8" w16cid:durableId="1394696226">
    <w:abstractNumId w:val="4"/>
  </w:num>
  <w:num w:numId="9" w16cid:durableId="142129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44CB8"/>
    <w:rsid w:val="00064455"/>
    <w:rsid w:val="000D2049"/>
    <w:rsid w:val="0010557C"/>
    <w:rsid w:val="00115E37"/>
    <w:rsid w:val="00195FAC"/>
    <w:rsid w:val="0024399E"/>
    <w:rsid w:val="00324C88"/>
    <w:rsid w:val="003A3E96"/>
    <w:rsid w:val="00415B75"/>
    <w:rsid w:val="004A3628"/>
    <w:rsid w:val="004F3E82"/>
    <w:rsid w:val="0055674B"/>
    <w:rsid w:val="005C6766"/>
    <w:rsid w:val="006950CE"/>
    <w:rsid w:val="006A440E"/>
    <w:rsid w:val="00703A27"/>
    <w:rsid w:val="00722DC7"/>
    <w:rsid w:val="007A0C96"/>
    <w:rsid w:val="007E3312"/>
    <w:rsid w:val="008278ED"/>
    <w:rsid w:val="00950D82"/>
    <w:rsid w:val="0099216E"/>
    <w:rsid w:val="009A6C6F"/>
    <w:rsid w:val="009E3556"/>
    <w:rsid w:val="00B03E7E"/>
    <w:rsid w:val="00B73D35"/>
    <w:rsid w:val="00B74AC2"/>
    <w:rsid w:val="00B76030"/>
    <w:rsid w:val="00BC4395"/>
    <w:rsid w:val="00C10F12"/>
    <w:rsid w:val="00C21B97"/>
    <w:rsid w:val="00CE1A93"/>
    <w:rsid w:val="00D02F62"/>
    <w:rsid w:val="00E87BE2"/>
    <w:rsid w:val="00EC2F94"/>
    <w:rsid w:val="00F030C8"/>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115E37"/>
    <w:rPr>
      <w:sz w:val="16"/>
      <w:szCs w:val="16"/>
    </w:rPr>
  </w:style>
  <w:style w:type="paragraph" w:styleId="CommentText">
    <w:name w:val="annotation text"/>
    <w:basedOn w:val="Normal"/>
    <w:link w:val="CommentTextChar"/>
    <w:uiPriority w:val="99"/>
    <w:unhideWhenUsed/>
    <w:rsid w:val="00115E37"/>
    <w:rPr>
      <w:sz w:val="20"/>
      <w:szCs w:val="20"/>
    </w:rPr>
  </w:style>
  <w:style w:type="character" w:customStyle="1" w:styleId="CommentTextChar">
    <w:name w:val="Comment Text Char"/>
    <w:basedOn w:val="DefaultParagraphFont"/>
    <w:link w:val="CommentText"/>
    <w:uiPriority w:val="99"/>
    <w:rsid w:val="00115E37"/>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115E37"/>
    <w:rPr>
      <w:b/>
      <w:bCs/>
    </w:rPr>
  </w:style>
  <w:style w:type="character" w:customStyle="1" w:styleId="CommentSubjectChar">
    <w:name w:val="Comment Subject Char"/>
    <w:basedOn w:val="CommentTextChar"/>
    <w:link w:val="CommentSubject"/>
    <w:uiPriority w:val="99"/>
    <w:semiHidden/>
    <w:rsid w:val="00115E37"/>
    <w:rPr>
      <w:rFonts w:eastAsiaTheme="minorEastAsia"/>
      <w:b/>
      <w:bCs/>
      <w:kern w:val="0"/>
      <w:sz w:val="20"/>
      <w:szCs w:val="20"/>
      <w:lang w:val="en-CA" w:eastAsia="zh-TW"/>
      <w14:ligatures w14:val="none"/>
    </w:rPr>
  </w:style>
  <w:style w:type="character" w:styleId="Mention">
    <w:name w:val="Mention"/>
    <w:basedOn w:val="DefaultParagraphFont"/>
    <w:uiPriority w:val="99"/>
    <w:unhideWhenUsed/>
    <w:rsid w:val="00115E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3880">
      <w:bodyDiv w:val="1"/>
      <w:marLeft w:val="0"/>
      <w:marRight w:val="0"/>
      <w:marTop w:val="0"/>
      <w:marBottom w:val="0"/>
      <w:divBdr>
        <w:top w:val="none" w:sz="0" w:space="0" w:color="auto"/>
        <w:left w:val="none" w:sz="0" w:space="0" w:color="auto"/>
        <w:bottom w:val="none" w:sz="0" w:space="0" w:color="auto"/>
        <w:right w:val="none" w:sz="0" w:space="0" w:color="auto"/>
      </w:divBdr>
    </w:div>
    <w:div w:id="705519385">
      <w:bodyDiv w:val="1"/>
      <w:marLeft w:val="0"/>
      <w:marRight w:val="0"/>
      <w:marTop w:val="0"/>
      <w:marBottom w:val="0"/>
      <w:divBdr>
        <w:top w:val="none" w:sz="0" w:space="0" w:color="auto"/>
        <w:left w:val="none" w:sz="0" w:space="0" w:color="auto"/>
        <w:bottom w:val="none" w:sz="0" w:space="0" w:color="auto"/>
        <w:right w:val="none" w:sz="0" w:space="0" w:color="auto"/>
      </w:divBdr>
    </w:div>
    <w:div w:id="1119646436">
      <w:bodyDiv w:val="1"/>
      <w:marLeft w:val="0"/>
      <w:marRight w:val="0"/>
      <w:marTop w:val="0"/>
      <w:marBottom w:val="0"/>
      <w:divBdr>
        <w:top w:val="none" w:sz="0" w:space="0" w:color="auto"/>
        <w:left w:val="none" w:sz="0" w:space="0" w:color="auto"/>
        <w:bottom w:val="none" w:sz="0" w:space="0" w:color="auto"/>
        <w:right w:val="none" w:sz="0" w:space="0" w:color="auto"/>
      </w:divBdr>
    </w:div>
    <w:div w:id="1330907250">
      <w:bodyDiv w:val="1"/>
      <w:marLeft w:val="0"/>
      <w:marRight w:val="0"/>
      <w:marTop w:val="0"/>
      <w:marBottom w:val="0"/>
      <w:divBdr>
        <w:top w:val="none" w:sz="0" w:space="0" w:color="auto"/>
        <w:left w:val="none" w:sz="0" w:space="0" w:color="auto"/>
        <w:bottom w:val="none" w:sz="0" w:space="0" w:color="auto"/>
        <w:right w:val="none" w:sz="0" w:space="0" w:color="auto"/>
      </w:divBdr>
    </w:div>
    <w:div w:id="1561555584">
      <w:bodyDiv w:val="1"/>
      <w:marLeft w:val="0"/>
      <w:marRight w:val="0"/>
      <w:marTop w:val="0"/>
      <w:marBottom w:val="0"/>
      <w:divBdr>
        <w:top w:val="none" w:sz="0" w:space="0" w:color="auto"/>
        <w:left w:val="none" w:sz="0" w:space="0" w:color="auto"/>
        <w:bottom w:val="none" w:sz="0" w:space="0" w:color="auto"/>
        <w:right w:val="none" w:sz="0" w:space="0" w:color="auto"/>
      </w:divBdr>
    </w:div>
    <w:div w:id="1568804387">
      <w:bodyDiv w:val="1"/>
      <w:marLeft w:val="0"/>
      <w:marRight w:val="0"/>
      <w:marTop w:val="0"/>
      <w:marBottom w:val="0"/>
      <w:divBdr>
        <w:top w:val="none" w:sz="0" w:space="0" w:color="auto"/>
        <w:left w:val="none" w:sz="0" w:space="0" w:color="auto"/>
        <w:bottom w:val="none" w:sz="0" w:space="0" w:color="auto"/>
        <w:right w:val="none" w:sz="0" w:space="0" w:color="auto"/>
      </w:divBdr>
    </w:div>
    <w:div w:id="1575313150">
      <w:bodyDiv w:val="1"/>
      <w:marLeft w:val="0"/>
      <w:marRight w:val="0"/>
      <w:marTop w:val="0"/>
      <w:marBottom w:val="0"/>
      <w:divBdr>
        <w:top w:val="none" w:sz="0" w:space="0" w:color="auto"/>
        <w:left w:val="none" w:sz="0" w:space="0" w:color="auto"/>
        <w:bottom w:val="none" w:sz="0" w:space="0" w:color="auto"/>
        <w:right w:val="none" w:sz="0" w:space="0" w:color="auto"/>
      </w:divBdr>
    </w:div>
    <w:div w:id="2074960373">
      <w:bodyDiv w:val="1"/>
      <w:marLeft w:val="0"/>
      <w:marRight w:val="0"/>
      <w:marTop w:val="0"/>
      <w:marBottom w:val="0"/>
      <w:divBdr>
        <w:top w:val="none" w:sz="0" w:space="0" w:color="auto"/>
        <w:left w:val="none" w:sz="0" w:space="0" w:color="auto"/>
        <w:bottom w:val="none" w:sz="0" w:space="0" w:color="auto"/>
        <w:right w:val="none" w:sz="0" w:space="0" w:color="auto"/>
      </w:divBdr>
      <w:divsChild>
        <w:div w:id="1606888879">
          <w:marLeft w:val="0"/>
          <w:marRight w:val="0"/>
          <w:marTop w:val="0"/>
          <w:marBottom w:val="0"/>
          <w:divBdr>
            <w:top w:val="none" w:sz="0" w:space="0" w:color="auto"/>
            <w:left w:val="none" w:sz="0" w:space="0" w:color="auto"/>
            <w:bottom w:val="none" w:sz="0" w:space="0" w:color="auto"/>
            <w:right w:val="none" w:sz="0" w:space="0" w:color="auto"/>
          </w:divBdr>
          <w:divsChild>
            <w:div w:id="2020082163">
              <w:marLeft w:val="0"/>
              <w:marRight w:val="0"/>
              <w:marTop w:val="0"/>
              <w:marBottom w:val="0"/>
              <w:divBdr>
                <w:top w:val="none" w:sz="0" w:space="0" w:color="auto"/>
                <w:left w:val="none" w:sz="0" w:space="0" w:color="auto"/>
                <w:bottom w:val="none" w:sz="0" w:space="0" w:color="auto"/>
                <w:right w:val="none" w:sz="0" w:space="0" w:color="auto"/>
              </w:divBdr>
              <w:divsChild>
                <w:div w:id="371073957">
                  <w:marLeft w:val="0"/>
                  <w:marRight w:val="0"/>
                  <w:marTop w:val="0"/>
                  <w:marBottom w:val="0"/>
                  <w:divBdr>
                    <w:top w:val="none" w:sz="0" w:space="0" w:color="auto"/>
                    <w:left w:val="none" w:sz="0" w:space="0" w:color="auto"/>
                    <w:bottom w:val="none" w:sz="0" w:space="0" w:color="auto"/>
                    <w:right w:val="none" w:sz="0" w:space="0" w:color="auto"/>
                  </w:divBdr>
                  <w:divsChild>
                    <w:div w:id="7602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18524">
          <w:marLeft w:val="0"/>
          <w:marRight w:val="0"/>
          <w:marTop w:val="0"/>
          <w:marBottom w:val="0"/>
          <w:divBdr>
            <w:top w:val="none" w:sz="0" w:space="0" w:color="auto"/>
            <w:left w:val="none" w:sz="0" w:space="0" w:color="auto"/>
            <w:bottom w:val="none" w:sz="0" w:space="0" w:color="auto"/>
            <w:right w:val="none" w:sz="0" w:space="0" w:color="auto"/>
          </w:divBdr>
          <w:divsChild>
            <w:div w:id="824663562">
              <w:marLeft w:val="0"/>
              <w:marRight w:val="0"/>
              <w:marTop w:val="0"/>
              <w:marBottom w:val="0"/>
              <w:divBdr>
                <w:top w:val="none" w:sz="0" w:space="0" w:color="auto"/>
                <w:left w:val="none" w:sz="0" w:space="0" w:color="auto"/>
                <w:bottom w:val="none" w:sz="0" w:space="0" w:color="auto"/>
                <w:right w:val="none" w:sz="0" w:space="0" w:color="auto"/>
              </w:divBdr>
              <w:divsChild>
                <w:div w:id="1284652668">
                  <w:marLeft w:val="0"/>
                  <w:marRight w:val="0"/>
                  <w:marTop w:val="0"/>
                  <w:marBottom w:val="0"/>
                  <w:divBdr>
                    <w:top w:val="none" w:sz="0" w:space="0" w:color="auto"/>
                    <w:left w:val="none" w:sz="0" w:space="0" w:color="auto"/>
                    <w:bottom w:val="none" w:sz="0" w:space="0" w:color="auto"/>
                    <w:right w:val="none" w:sz="0" w:space="0" w:color="auto"/>
                  </w:divBdr>
                  <w:divsChild>
                    <w:div w:id="3974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8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schemas.microsoft.com/office/infopath/2007/PartnerControls"/>
    <ds:schemaRef ds:uri="cab52c9b-ab33-4221-8af9-54f8f2b86a80"/>
    <ds:schemaRef ds:uri="9c8a2b7b-0bee-4c48-b0a6-23db8982d3bc"/>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6911e96c-4cc4-42d5-8e43-f93924cf6a0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69E1F66-B2CE-4392-A8C8-9C0A6470F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1671</Words>
  <Characters>11032</Characters>
  <Application>Microsoft Office Word</Application>
  <DocSecurity>0</DocSecurity>
  <Lines>91</Lines>
  <Paragraphs>25</Paragraphs>
  <ScaleCrop>false</ScaleCrop>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4</cp:revision>
  <dcterms:created xsi:type="dcterms:W3CDTF">2025-03-09T02:17:00Z</dcterms:created>
  <dcterms:modified xsi:type="dcterms:W3CDTF">2025-08-11T23:31:00Z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lcf76f155ced4ddcb4097134ff3c332f">
    <vt:lpwstr/>
  </property>
</Properties>
</file>