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7046F0" w14:paraId="3CA33060" w14:textId="77777777" w:rsidTr="009F4EA0">
        <w:tc>
          <w:tcPr>
            <w:tcW w:w="8640" w:type="dxa"/>
            <w:shd w:val="clear" w:color="auto" w:fill="F2F2F2" w:themeFill="background1" w:themeFillShade="F2"/>
          </w:tcPr>
          <w:p w14:paraId="0DAFEEC1" w14:textId="77777777" w:rsidR="007046F0" w:rsidRPr="007046F0" w:rsidRDefault="007046F0" w:rsidP="00144E1A">
            <w:pPr>
              <w:rPr>
                <w:rStyle w:val="Strong"/>
                <w:rFonts w:ascii="Arial" w:eastAsia="Arial Unicode MS" w:hAnsi="Arial" w:cs="Arial"/>
                <w:b w:val="0"/>
                <w:bCs w:val="0"/>
                <w:i/>
                <w:iCs/>
                <w:sz w:val="22"/>
                <w:szCs w:val="22"/>
                <w:lang w:val="en-AU" w:eastAsia="en-US"/>
              </w:rPr>
            </w:pPr>
            <w:r w:rsidRPr="007046F0">
              <w:rPr>
                <w:rStyle w:val="Strong"/>
                <w:rFonts w:ascii="Arial" w:eastAsia="Arial Unicode MS" w:hAnsi="Arial" w:cs="Arial"/>
                <w:b w:val="0"/>
                <w:bCs w:val="0"/>
                <w:i/>
                <w:iCs/>
                <w:sz w:val="22"/>
                <w:szCs w:val="22"/>
                <w:lang w:val="en-AU" w:eastAsia="en-US"/>
              </w:rPr>
              <w:t>Paper</w:t>
            </w:r>
          </w:p>
          <w:p w14:paraId="2783A555" w14:textId="7EBD2FCE" w:rsidR="007A2C51" w:rsidRDefault="00144E1A" w:rsidP="00144E1A">
            <w:pPr>
              <w:rPr>
                <w:rStyle w:val="Strong"/>
                <w:rFonts w:ascii="Arial" w:eastAsia="Arial Unicode MS" w:hAnsi="Arial" w:cs="Arial"/>
                <w:sz w:val="22"/>
                <w:szCs w:val="22"/>
                <w:lang w:val="en-AU" w:eastAsia="en-US"/>
              </w:rPr>
            </w:pPr>
            <w:r w:rsidRPr="007046F0">
              <w:rPr>
                <w:rStyle w:val="Strong"/>
                <w:rFonts w:ascii="Arial" w:eastAsia="Arial Unicode MS" w:hAnsi="Arial" w:cs="Arial"/>
                <w:sz w:val="22"/>
                <w:szCs w:val="22"/>
                <w:lang w:val="en-AU" w:eastAsia="en-US"/>
              </w:rPr>
              <w:t xml:space="preserve">Keeping </w:t>
            </w:r>
            <w:r w:rsidR="00EE221C" w:rsidRPr="007046F0">
              <w:rPr>
                <w:rStyle w:val="Strong"/>
                <w:rFonts w:ascii="Arial" w:eastAsia="Arial Unicode MS" w:hAnsi="Arial" w:cs="Arial"/>
                <w:sz w:val="22"/>
                <w:szCs w:val="22"/>
                <w:lang w:val="en-AU" w:eastAsia="en-US"/>
              </w:rPr>
              <w:t xml:space="preserve">Australia’s </w:t>
            </w:r>
            <w:proofErr w:type="spellStart"/>
            <w:r w:rsidRPr="007046F0">
              <w:rPr>
                <w:rStyle w:val="Strong"/>
                <w:rFonts w:ascii="Arial" w:eastAsia="Arial Unicode MS" w:hAnsi="Arial" w:cs="Arial"/>
                <w:sz w:val="22"/>
                <w:szCs w:val="22"/>
                <w:lang w:val="en-AU" w:eastAsia="en-US"/>
              </w:rPr>
              <w:t>CoastAdapt</w:t>
            </w:r>
            <w:proofErr w:type="spellEnd"/>
            <w:r w:rsidRPr="007046F0">
              <w:rPr>
                <w:rStyle w:val="Strong"/>
                <w:rFonts w:ascii="Arial" w:eastAsia="Arial Unicode MS" w:hAnsi="Arial" w:cs="Arial"/>
                <w:sz w:val="22"/>
                <w:szCs w:val="22"/>
                <w:lang w:val="en-AU" w:eastAsia="en-US"/>
              </w:rPr>
              <w:t xml:space="preserve"> “u</w:t>
            </w:r>
            <w:r w:rsidR="00CA77C7" w:rsidRPr="007046F0">
              <w:rPr>
                <w:rStyle w:val="Strong"/>
                <w:rFonts w:ascii="Arial" w:eastAsia="Arial Unicode MS" w:hAnsi="Arial" w:cs="Arial"/>
                <w:sz w:val="22"/>
                <w:szCs w:val="22"/>
                <w:lang w:val="en-AU" w:eastAsia="en-US"/>
              </w:rPr>
              <w:t xml:space="preserve">seful and used": </w:t>
            </w:r>
            <w:r w:rsidR="007046F0">
              <w:rPr>
                <w:rStyle w:val="Strong"/>
                <w:rFonts w:ascii="Arial" w:eastAsia="Arial Unicode MS" w:hAnsi="Arial" w:cs="Arial"/>
                <w:sz w:val="22"/>
                <w:szCs w:val="22"/>
                <w:lang w:val="en-AU" w:eastAsia="en-US"/>
              </w:rPr>
              <w:t xml:space="preserve"> </w:t>
            </w:r>
            <w:r w:rsidR="00CA77C7" w:rsidRPr="007046F0">
              <w:rPr>
                <w:rStyle w:val="Strong"/>
                <w:rFonts w:ascii="Arial" w:eastAsia="Arial Unicode MS" w:hAnsi="Arial" w:cs="Arial"/>
                <w:sz w:val="22"/>
                <w:szCs w:val="22"/>
                <w:lang w:val="en-AU" w:eastAsia="en-US"/>
              </w:rPr>
              <w:t xml:space="preserve">Evolving </w:t>
            </w:r>
            <w:r w:rsidR="00EE221C" w:rsidRPr="007046F0">
              <w:rPr>
                <w:rStyle w:val="Strong"/>
                <w:rFonts w:ascii="Arial" w:eastAsia="Arial Unicode MS" w:hAnsi="Arial" w:cs="Arial"/>
                <w:sz w:val="22"/>
                <w:szCs w:val="22"/>
                <w:lang w:val="en-AU" w:eastAsia="en-US"/>
              </w:rPr>
              <w:t xml:space="preserve">the </w:t>
            </w:r>
            <w:r w:rsidR="00CA77C7" w:rsidRPr="007046F0">
              <w:rPr>
                <w:rStyle w:val="Strong"/>
                <w:rFonts w:ascii="Arial" w:eastAsia="Arial Unicode MS" w:hAnsi="Arial" w:cs="Arial"/>
                <w:sz w:val="22"/>
                <w:szCs w:val="22"/>
                <w:lang w:val="en-AU" w:eastAsia="en-US"/>
              </w:rPr>
              <w:t>national platform for coastal decision-making</w:t>
            </w:r>
          </w:p>
          <w:p w14:paraId="3F7D1534" w14:textId="6269BE21" w:rsidR="007046F0" w:rsidRPr="007046F0" w:rsidRDefault="007046F0" w:rsidP="00144E1A">
            <w:pPr>
              <w:rPr>
                <w:rFonts w:ascii="Arial" w:eastAsia="Arial Unicode MS" w:hAnsi="Arial" w:cs="Arial"/>
                <w:b/>
                <w:bCs/>
                <w:sz w:val="22"/>
                <w:szCs w:val="22"/>
                <w:lang w:val="en-AU" w:eastAsia="en-US"/>
              </w:rPr>
            </w:pPr>
          </w:p>
        </w:tc>
      </w:tr>
      <w:tr w:rsidR="00C8423A" w:rsidRPr="0003525D" w14:paraId="1A1C8C63" w14:textId="77777777" w:rsidTr="004351FA">
        <w:trPr>
          <w:trHeight w:val="557"/>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7D0F9A86" w14:textId="77777777" w:rsidR="00E91BD0" w:rsidRPr="00E91BD0" w:rsidRDefault="00E91BD0" w:rsidP="00E91BD0">
            <w:pPr>
              <w:spacing w:after="240"/>
              <w:jc w:val="both"/>
              <w:rPr>
                <w:rFonts w:ascii="Arial" w:eastAsia="Arial Unicode MS" w:hAnsi="Arial" w:cs="Arial"/>
                <w:bCs/>
                <w:lang w:val="en-CA"/>
              </w:rPr>
            </w:pPr>
            <w:r w:rsidRPr="00E91BD0">
              <w:rPr>
                <w:rFonts w:ascii="Arial" w:eastAsia="Arial Unicode MS" w:hAnsi="Arial" w:cs="Arial"/>
                <w:bCs/>
                <w:lang w:val="en-CA"/>
              </w:rPr>
              <w:t xml:space="preserve">As Australia’s national platform for coastal decision-makers, CoastAdapt has supported local governments to navigate the complexities of adaptation in the coastal zone. Launched in 2016, CoastAdapt has become a widely used resource, providing comprehensive guidance in key areas of adaptation decision making across Australia’s extensive and diverse coastal zones. A decade after its inception, CoastAdapt is undergoing a significant refresh and rethink to remain “useful and used” in a dynamic adaptation context. CoastAdapt ‘s 2016 development and 2025 refresh has been funded by the Australian Government. </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9BA2093" w14:textId="77777777" w:rsidR="00E07BC6" w:rsidRPr="00E07BC6" w:rsidRDefault="00E07BC6" w:rsidP="00E07BC6">
            <w:pPr>
              <w:spacing w:after="240"/>
              <w:jc w:val="both"/>
              <w:rPr>
                <w:rFonts w:ascii="Arial" w:eastAsia="Arial Unicode MS" w:hAnsi="Arial" w:cs="Arial"/>
                <w:bCs/>
                <w:lang w:val="en-CA"/>
              </w:rPr>
            </w:pPr>
            <w:r w:rsidRPr="00E07BC6">
              <w:rPr>
                <w:rFonts w:ascii="Arial" w:eastAsia="Arial Unicode MS" w:hAnsi="Arial" w:cs="Arial"/>
                <w:bCs/>
                <w:lang w:val="en-CA"/>
              </w:rPr>
              <w:t>By sharing insights and experiences, this presentation aims to support reflection on decision-making platforms – that are increasing in their importance in both developed and developing country contexts—to help ensure that they are “useful and used”.</w:t>
            </w:r>
          </w:p>
          <w:p w14:paraId="457D2D05" w14:textId="26589FA9"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0FD6B01" w14:textId="77777777" w:rsidR="00427A72" w:rsidRDefault="00427A72" w:rsidP="00427A72">
            <w:pPr>
              <w:spacing w:after="240"/>
              <w:jc w:val="both"/>
              <w:rPr>
                <w:rFonts w:ascii="Arial" w:eastAsia="Arial Unicode MS" w:hAnsi="Arial" w:cs="Arial"/>
                <w:bCs/>
                <w:lang w:val="en-CA"/>
              </w:rPr>
            </w:pPr>
            <w:r w:rsidRPr="00427A72">
              <w:rPr>
                <w:rFonts w:ascii="Arial" w:eastAsia="Arial Unicode MS" w:hAnsi="Arial" w:cs="Arial"/>
                <w:bCs/>
                <w:lang w:val="en-CA"/>
              </w:rPr>
              <w:t xml:space="preserve">The refresh/rethink of CoastAdapt in 2023-2025 has provided the opportunity to consult and engage with coastal decision makers across states and a territory in Australia, as well as interaction with New Zealand and Canada. The lessons and insights from this engagement are used to reflect on the evolving nature, including advances and challenges, of decision making in the coastal adaptation context. While these reflections are derived in Australia, they also provide insights for decision support for coastal adaptation in other developing country contexts. </w:t>
            </w:r>
          </w:p>
          <w:p w14:paraId="62DAA8AE" w14:textId="780DB59E" w:rsidR="0065012F" w:rsidRDefault="0065012F" w:rsidP="00427A72">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5CC6512" w14:textId="77777777" w:rsidR="00AD3A34" w:rsidRPr="00AD3A34" w:rsidRDefault="00AD3A34" w:rsidP="00AD3A34">
            <w:pPr>
              <w:spacing w:after="240"/>
              <w:jc w:val="both"/>
              <w:rPr>
                <w:rFonts w:ascii="Arial" w:eastAsia="Arial Unicode MS" w:hAnsi="Arial" w:cs="Arial"/>
                <w:bCs/>
                <w:lang w:val="en-CA"/>
              </w:rPr>
            </w:pPr>
            <w:r w:rsidRPr="00AD3A34">
              <w:rPr>
                <w:rFonts w:ascii="Arial" w:eastAsia="Arial Unicode MS" w:hAnsi="Arial" w:cs="Arial"/>
                <w:bCs/>
                <w:lang w:val="en-CA"/>
              </w:rPr>
              <w:t xml:space="preserve">Our findings include reflections on following key issues: </w:t>
            </w:r>
          </w:p>
          <w:p w14:paraId="3D4E555B" w14:textId="77777777" w:rsidR="00AD3A34" w:rsidRPr="00AD3A34" w:rsidRDefault="00AD3A34" w:rsidP="00AD3A34">
            <w:pPr>
              <w:pStyle w:val="ListParagraph"/>
              <w:numPr>
                <w:ilvl w:val="0"/>
                <w:numId w:val="7"/>
              </w:numPr>
              <w:spacing w:after="240"/>
              <w:jc w:val="both"/>
              <w:rPr>
                <w:rFonts w:ascii="Arial" w:eastAsia="Arial Unicode MS" w:hAnsi="Arial" w:cs="Arial"/>
                <w:bCs/>
                <w:lang w:val="en-CA"/>
              </w:rPr>
            </w:pPr>
            <w:r w:rsidRPr="00AD3A34">
              <w:rPr>
                <w:rFonts w:ascii="Arial" w:eastAsia="Arial Unicode MS" w:hAnsi="Arial" w:cs="Arial"/>
                <w:bCs/>
                <w:lang w:val="en-CA"/>
              </w:rPr>
              <w:t>New topics that reflect the maturation of adaptation thinking. Users have expressed the need for expanded content that addresses emerging challenges such as First Nations’ engagement, emphasizing Indigenous knowledge and cultural perspectives in adaptation; equitable and just adaptation, ensuring that consideration of diverse and vulnerable populations are included in adaptation thinking; and creative community engagement strategies to involve the public more deeply in decision-making processes.</w:t>
            </w:r>
          </w:p>
          <w:p w14:paraId="012D5A9B" w14:textId="77777777" w:rsidR="00AD3A34" w:rsidRPr="00AD3A34" w:rsidRDefault="00AD3A34" w:rsidP="00AD3A34">
            <w:pPr>
              <w:pStyle w:val="ListParagraph"/>
              <w:numPr>
                <w:ilvl w:val="0"/>
                <w:numId w:val="7"/>
              </w:numPr>
              <w:spacing w:after="240"/>
              <w:jc w:val="both"/>
              <w:rPr>
                <w:rFonts w:ascii="Arial" w:eastAsia="Arial Unicode MS" w:hAnsi="Arial" w:cs="Arial"/>
                <w:bCs/>
                <w:lang w:val="en-CA"/>
              </w:rPr>
            </w:pPr>
            <w:r w:rsidRPr="00AD3A34">
              <w:rPr>
                <w:rFonts w:ascii="Arial" w:eastAsia="Arial Unicode MS" w:hAnsi="Arial" w:cs="Arial"/>
                <w:bCs/>
                <w:lang w:val="en-CA"/>
              </w:rPr>
              <w:t xml:space="preserve">Revisiting concepts of credibility, legitimacy, and saliency: As the adaptation landscape continues to evolve, the standards are shifting for what constitutes credible, legitimate, and salient information. The refresh will examine what this means for guidance of evidence-based information. </w:t>
            </w:r>
          </w:p>
          <w:p w14:paraId="43F997EB" w14:textId="77777777" w:rsidR="00AD3A34" w:rsidRPr="00AD3A34" w:rsidRDefault="00AD3A34" w:rsidP="00AD3A34">
            <w:pPr>
              <w:pStyle w:val="ListParagraph"/>
              <w:numPr>
                <w:ilvl w:val="0"/>
                <w:numId w:val="7"/>
              </w:numPr>
              <w:spacing w:after="240"/>
              <w:jc w:val="both"/>
              <w:rPr>
                <w:rFonts w:ascii="Arial" w:eastAsia="Arial Unicode MS" w:hAnsi="Arial" w:cs="Arial"/>
                <w:bCs/>
                <w:lang w:val="en-CA"/>
              </w:rPr>
            </w:pPr>
            <w:r w:rsidRPr="00AD3A34">
              <w:rPr>
                <w:rFonts w:ascii="Arial" w:eastAsia="Arial Unicode MS" w:hAnsi="Arial" w:cs="Arial"/>
                <w:bCs/>
                <w:lang w:val="en-CA"/>
              </w:rPr>
              <w:t xml:space="preserve">Rising expectations of content and usability: Coastal decision-makers expect increasingly user-friendly platforms that offer guidance, particularly for smaller councils with limited resources, expertise and capacity. </w:t>
            </w:r>
          </w:p>
          <w:p w14:paraId="5945E145" w14:textId="77777777" w:rsidR="00AD3A34" w:rsidRPr="00AD3A34" w:rsidRDefault="00AD3A34" w:rsidP="00AD3A34">
            <w:pPr>
              <w:pStyle w:val="ListParagraph"/>
              <w:numPr>
                <w:ilvl w:val="0"/>
                <w:numId w:val="7"/>
              </w:numPr>
              <w:spacing w:after="240"/>
              <w:jc w:val="both"/>
              <w:rPr>
                <w:rFonts w:ascii="Arial" w:eastAsia="Arial Unicode MS" w:hAnsi="Arial" w:cs="Arial"/>
                <w:bCs/>
                <w:lang w:val="en-CA"/>
              </w:rPr>
            </w:pPr>
            <w:r w:rsidRPr="00AD3A34">
              <w:rPr>
                <w:rFonts w:ascii="Arial" w:eastAsia="Arial Unicode MS" w:hAnsi="Arial" w:cs="Arial"/>
                <w:bCs/>
                <w:lang w:val="en-CA"/>
              </w:rPr>
              <w:t>Changing expectations of consultation in a post-pandemic, lower carbon footprint context with narrowing channels for constructive community debates</w:t>
            </w:r>
          </w:p>
          <w:p w14:paraId="261EC656" w14:textId="18904DF9"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CBAECD6" w14:textId="40365684" w:rsidR="009F4EA0" w:rsidRPr="007046F0" w:rsidRDefault="00817DF2" w:rsidP="007046F0">
            <w:pPr>
              <w:spacing w:after="240"/>
              <w:jc w:val="both"/>
              <w:rPr>
                <w:rFonts w:ascii="Arial" w:eastAsia="Arial Unicode MS" w:hAnsi="Arial" w:cs="Arial"/>
                <w:bCs/>
                <w:lang w:val="en-CA"/>
              </w:rPr>
            </w:pPr>
            <w:r w:rsidRPr="00817DF2">
              <w:rPr>
                <w:rFonts w:ascii="Arial" w:eastAsia="Arial Unicode MS" w:hAnsi="Arial" w:cs="Arial"/>
                <w:bCs/>
                <w:lang w:val="en-CA"/>
              </w:rPr>
              <w:t>As d</w:t>
            </w:r>
            <w:r w:rsidRPr="003234A8">
              <w:rPr>
                <w:rFonts w:ascii="Arial" w:eastAsia="Arial Unicode MS" w:hAnsi="Arial" w:cs="Arial"/>
                <w:bCs/>
                <w:lang w:val="en-CA"/>
              </w:rPr>
              <w:t xml:space="preserve">ecision-making platforms </w:t>
            </w:r>
            <w:r w:rsidRPr="00817DF2">
              <w:rPr>
                <w:rFonts w:ascii="Arial" w:eastAsia="Arial Unicode MS" w:hAnsi="Arial" w:cs="Arial"/>
                <w:bCs/>
                <w:lang w:val="en-CA"/>
              </w:rPr>
              <w:t>become</w:t>
            </w:r>
            <w:r w:rsidRPr="003234A8">
              <w:rPr>
                <w:rFonts w:ascii="Arial" w:eastAsia="Arial Unicode MS" w:hAnsi="Arial" w:cs="Arial"/>
                <w:bCs/>
                <w:lang w:val="en-CA"/>
              </w:rPr>
              <w:t xml:space="preserve"> increasingly important</w:t>
            </w:r>
            <w:r w:rsidRPr="00817DF2">
              <w:rPr>
                <w:rFonts w:ascii="Arial" w:eastAsia="Arial Unicode MS" w:hAnsi="Arial" w:cs="Arial"/>
                <w:bCs/>
                <w:lang w:val="en-CA"/>
              </w:rPr>
              <w:t xml:space="preserve">, </w:t>
            </w:r>
            <w:r w:rsidRPr="003234A8">
              <w:rPr>
                <w:rFonts w:ascii="Arial" w:eastAsia="Arial Unicode MS" w:hAnsi="Arial" w:cs="Arial"/>
                <w:bCs/>
                <w:lang w:val="en-CA"/>
              </w:rPr>
              <w:t xml:space="preserve">CoastAdapt’s refresh provides valuable insights for </w:t>
            </w:r>
            <w:r w:rsidRPr="00817DF2">
              <w:rPr>
                <w:rFonts w:ascii="Arial" w:eastAsia="Arial Unicode MS" w:hAnsi="Arial" w:cs="Arial"/>
                <w:bCs/>
                <w:lang w:val="en-CA"/>
              </w:rPr>
              <w:t>a range of types of</w:t>
            </w:r>
            <w:r w:rsidRPr="003234A8">
              <w:rPr>
                <w:rFonts w:ascii="Arial" w:eastAsia="Arial Unicode MS" w:hAnsi="Arial" w:cs="Arial"/>
                <w:bCs/>
                <w:lang w:val="en-CA"/>
              </w:rPr>
              <w:t xml:space="preserve"> </w:t>
            </w:r>
            <w:r w:rsidRPr="00817DF2">
              <w:rPr>
                <w:rFonts w:ascii="Arial" w:eastAsia="Arial Unicode MS" w:hAnsi="Arial" w:cs="Arial"/>
                <w:bCs/>
                <w:lang w:val="en-CA"/>
              </w:rPr>
              <w:t xml:space="preserve">knowledge brokers. </w:t>
            </w:r>
            <w:r w:rsidRPr="003234A8">
              <w:rPr>
                <w:rFonts w:ascii="Arial" w:eastAsia="Arial Unicode MS" w:hAnsi="Arial" w:cs="Arial"/>
                <w:bCs/>
                <w:lang w:val="en-CA"/>
              </w:rPr>
              <w:t xml:space="preserve">By emphasizing the need for continuous engagement, flexibility, and user-centric design, CoastAdapt serves as a model for how decision-making platforms can remain relevant and effective over time. </w:t>
            </w:r>
            <w:r w:rsidRPr="00817DF2">
              <w:rPr>
                <w:rFonts w:ascii="Arial" w:eastAsia="Arial Unicode MS" w:hAnsi="Arial" w:cs="Arial"/>
                <w:bCs/>
                <w:lang w:val="en-CA"/>
              </w:rPr>
              <w:t>The</w:t>
            </w:r>
            <w:r w:rsidRPr="003234A8">
              <w:rPr>
                <w:rFonts w:ascii="Arial" w:eastAsia="Arial Unicode MS" w:hAnsi="Arial" w:cs="Arial"/>
                <w:bCs/>
                <w:lang w:val="en-CA"/>
              </w:rPr>
              <w:t xml:space="preserve"> key principles that have guided CoastAdapt’s evolution—engagement, usability, and adaptability—are transferable to diverse coastal contexts worldwide.</w:t>
            </w:r>
          </w:p>
        </w:tc>
      </w:tr>
    </w:tbl>
    <w:p w14:paraId="15AC9FEF" w14:textId="15B67474" w:rsidR="009010B0" w:rsidRPr="00C26081" w:rsidRDefault="009010B0" w:rsidP="00247C60"/>
    <w:sectPr w:rsidR="009010B0" w:rsidRPr="00C26081" w:rsidSect="00AD3A34">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476EE7"/>
    <w:multiLevelType w:val="hybridMultilevel"/>
    <w:tmpl w:val="5DA87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55263D"/>
    <w:multiLevelType w:val="hybridMultilevel"/>
    <w:tmpl w:val="72F8F9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DAC3BFE"/>
    <w:multiLevelType w:val="hybridMultilevel"/>
    <w:tmpl w:val="6FE05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D52969"/>
    <w:multiLevelType w:val="hybridMultilevel"/>
    <w:tmpl w:val="A1187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6"/>
  </w:num>
  <w:num w:numId="3" w16cid:durableId="1316374630">
    <w:abstractNumId w:val="1"/>
  </w:num>
  <w:num w:numId="4" w16cid:durableId="501749288">
    <w:abstractNumId w:val="3"/>
  </w:num>
  <w:num w:numId="5" w16cid:durableId="1524898334">
    <w:abstractNumId w:val="2"/>
  </w:num>
  <w:num w:numId="6" w16cid:durableId="1749228843">
    <w:abstractNumId w:val="4"/>
  </w:num>
  <w:num w:numId="7" w16cid:durableId="711077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2793"/>
    <w:rsid w:val="0004446C"/>
    <w:rsid w:val="000454E9"/>
    <w:rsid w:val="0007719A"/>
    <w:rsid w:val="000A4A5D"/>
    <w:rsid w:val="00105E39"/>
    <w:rsid w:val="00112C0C"/>
    <w:rsid w:val="00132AE5"/>
    <w:rsid w:val="00144E1A"/>
    <w:rsid w:val="00155315"/>
    <w:rsid w:val="00165804"/>
    <w:rsid w:val="001D4CFE"/>
    <w:rsid w:val="001F177C"/>
    <w:rsid w:val="0023103D"/>
    <w:rsid w:val="0023574C"/>
    <w:rsid w:val="00247C60"/>
    <w:rsid w:val="00252116"/>
    <w:rsid w:val="00256963"/>
    <w:rsid w:val="002E3AA3"/>
    <w:rsid w:val="00317356"/>
    <w:rsid w:val="0034503D"/>
    <w:rsid w:val="00354C31"/>
    <w:rsid w:val="003578E2"/>
    <w:rsid w:val="00375B20"/>
    <w:rsid w:val="00380934"/>
    <w:rsid w:val="00380EB0"/>
    <w:rsid w:val="00386D01"/>
    <w:rsid w:val="003E34B8"/>
    <w:rsid w:val="004049E7"/>
    <w:rsid w:val="00427A72"/>
    <w:rsid w:val="004351FA"/>
    <w:rsid w:val="00462B90"/>
    <w:rsid w:val="00463456"/>
    <w:rsid w:val="004810E8"/>
    <w:rsid w:val="004828A0"/>
    <w:rsid w:val="004B69C7"/>
    <w:rsid w:val="004D193B"/>
    <w:rsid w:val="004F4CE8"/>
    <w:rsid w:val="004F5C81"/>
    <w:rsid w:val="0053222C"/>
    <w:rsid w:val="005469BD"/>
    <w:rsid w:val="00550B17"/>
    <w:rsid w:val="00583EA2"/>
    <w:rsid w:val="005854B8"/>
    <w:rsid w:val="005944DD"/>
    <w:rsid w:val="00602758"/>
    <w:rsid w:val="00641A27"/>
    <w:rsid w:val="00643496"/>
    <w:rsid w:val="0065012F"/>
    <w:rsid w:val="00651E70"/>
    <w:rsid w:val="00672C3F"/>
    <w:rsid w:val="0068043B"/>
    <w:rsid w:val="00681CA7"/>
    <w:rsid w:val="006D3692"/>
    <w:rsid w:val="007046F0"/>
    <w:rsid w:val="007502DA"/>
    <w:rsid w:val="00772967"/>
    <w:rsid w:val="007A2C51"/>
    <w:rsid w:val="008014DD"/>
    <w:rsid w:val="00817DF2"/>
    <w:rsid w:val="008235E8"/>
    <w:rsid w:val="00824A74"/>
    <w:rsid w:val="00850516"/>
    <w:rsid w:val="00867971"/>
    <w:rsid w:val="008773DF"/>
    <w:rsid w:val="008B01BA"/>
    <w:rsid w:val="008B50A0"/>
    <w:rsid w:val="008C0C35"/>
    <w:rsid w:val="008C22AD"/>
    <w:rsid w:val="008C2633"/>
    <w:rsid w:val="008E3D8D"/>
    <w:rsid w:val="008F2F93"/>
    <w:rsid w:val="009010B0"/>
    <w:rsid w:val="00906B39"/>
    <w:rsid w:val="0091256B"/>
    <w:rsid w:val="00914723"/>
    <w:rsid w:val="00920C8C"/>
    <w:rsid w:val="00963443"/>
    <w:rsid w:val="009C374A"/>
    <w:rsid w:val="009F4EA0"/>
    <w:rsid w:val="00AD3A34"/>
    <w:rsid w:val="00AF1681"/>
    <w:rsid w:val="00B026E8"/>
    <w:rsid w:val="00B74AF4"/>
    <w:rsid w:val="00B9740A"/>
    <w:rsid w:val="00BA0872"/>
    <w:rsid w:val="00BA26BB"/>
    <w:rsid w:val="00BC6457"/>
    <w:rsid w:val="00BC6810"/>
    <w:rsid w:val="00BD0F6E"/>
    <w:rsid w:val="00BE0B4D"/>
    <w:rsid w:val="00BE58D6"/>
    <w:rsid w:val="00C25050"/>
    <w:rsid w:val="00C26081"/>
    <w:rsid w:val="00C4126D"/>
    <w:rsid w:val="00C76C99"/>
    <w:rsid w:val="00C8423A"/>
    <w:rsid w:val="00CA77C7"/>
    <w:rsid w:val="00CE53FE"/>
    <w:rsid w:val="00D1088F"/>
    <w:rsid w:val="00D1538C"/>
    <w:rsid w:val="00D269E0"/>
    <w:rsid w:val="00D716AD"/>
    <w:rsid w:val="00DB7929"/>
    <w:rsid w:val="00DD1BB3"/>
    <w:rsid w:val="00DF1D22"/>
    <w:rsid w:val="00E07BC6"/>
    <w:rsid w:val="00E612FF"/>
    <w:rsid w:val="00E91BD0"/>
    <w:rsid w:val="00EB1B31"/>
    <w:rsid w:val="00EE221C"/>
    <w:rsid w:val="00EF69CD"/>
    <w:rsid w:val="00F70319"/>
    <w:rsid w:val="00F818D6"/>
    <w:rsid w:val="00F92C87"/>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rsid w:val="001F177C"/>
    <w:pPr>
      <w:spacing w:before="100" w:beforeAutospacing="1" w:after="100" w:afterAutospacing="1"/>
    </w:pPr>
    <w:rPr>
      <w:rFonts w:ascii="Arial Unicode MS" w:eastAsia="Arial Unicode MS" w:hAnsi="Arial Unicode MS" w:cs="Arial Unicode MS"/>
      <w:lang w:val="en-AU" w:eastAsia="en-US"/>
    </w:rPr>
  </w:style>
  <w:style w:type="character" w:styleId="Strong">
    <w:name w:val="Strong"/>
    <w:qFormat/>
    <w:rsid w:val="001F1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827E64A2-8AC8-4489-AFA8-F5410E2F27AB}">
  <ds:schemaRefs>
    <ds:schemaRef ds:uri="http://schemas.openxmlformats.org/officeDocument/2006/bibliography"/>
  </ds:schemaRefs>
</ds:datastoreItem>
</file>

<file path=customXml/itemProps4.xml><?xml version="1.0" encoding="utf-8"?>
<ds:datastoreItem xmlns:ds="http://schemas.openxmlformats.org/officeDocument/2006/customXml" ds:itemID="{1D926C7C-0651-48E6-AD1F-CDF23FBADFF2}"/>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501</Words>
  <Characters>2859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2025-03-01T04:41:00Z</dcterms:created>
  <dcterms:modified xsi:type="dcterms:W3CDTF">2025-08-11T19:47:00Z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