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C194E" w14:textId="77777777" w:rsidR="00E45F7C" w:rsidRPr="000F0C86" w:rsidRDefault="00E45F7C" w:rsidP="006877C0">
      <w:pPr>
        <w:shd w:val="clear" w:color="auto" w:fill="FFFFFF"/>
        <w:spacing w:after="0" w:line="276" w:lineRule="auto"/>
        <w:rPr>
          <w:rFonts w:ascii="Arial" w:hAnsi="Arial" w:cs="Arial"/>
          <w:b/>
          <w:i/>
          <w:color w:val="FF0000"/>
        </w:rPr>
      </w:pPr>
    </w:p>
    <w:p w14:paraId="71038CBD" w14:textId="77777777" w:rsidR="006877C0" w:rsidRPr="000F0C86" w:rsidRDefault="006877C0" w:rsidP="003F0C25">
      <w:pPr>
        <w:shd w:val="clear" w:color="auto" w:fill="FFFFFF"/>
        <w:spacing w:after="0" w:line="240" w:lineRule="auto"/>
        <w:jc w:val="both"/>
        <w:rPr>
          <w:rFonts w:ascii="Arial" w:hAnsi="Arial" w:cs="Arial"/>
        </w:rPr>
      </w:pPr>
    </w:p>
    <w:tbl>
      <w:tblPr>
        <w:tblStyle w:val="TableGrid"/>
        <w:tblW w:w="8715" w:type="dxa"/>
        <w:tblInd w:w="108" w:type="dxa"/>
        <w:tblLayout w:type="fixed"/>
        <w:tblLook w:val="01E0" w:firstRow="1" w:lastRow="1" w:firstColumn="1" w:lastColumn="1" w:noHBand="0" w:noVBand="0"/>
      </w:tblPr>
      <w:tblGrid>
        <w:gridCol w:w="8715"/>
      </w:tblGrid>
      <w:tr w:rsidR="006877C0" w:rsidRPr="000F0C86" w14:paraId="025C6D9A" w14:textId="77777777" w:rsidTr="006877C0">
        <w:trPr>
          <w:trHeight w:val="918"/>
        </w:trPr>
        <w:tc>
          <w:tcPr>
            <w:tcW w:w="8715" w:type="dxa"/>
            <w:tcBorders>
              <w:top w:val="single" w:sz="4" w:space="0" w:color="auto"/>
              <w:left w:val="single" w:sz="4" w:space="0" w:color="auto"/>
              <w:bottom w:val="single" w:sz="4" w:space="0" w:color="auto"/>
              <w:right w:val="single" w:sz="4" w:space="0" w:color="auto"/>
            </w:tcBorders>
          </w:tcPr>
          <w:p w14:paraId="303B32D6" w14:textId="77777777" w:rsidR="006877C0" w:rsidRPr="000F0C86" w:rsidRDefault="006877C0" w:rsidP="006877C0">
            <w:pPr>
              <w:shd w:val="clear" w:color="auto" w:fill="FFFFFF"/>
              <w:spacing w:after="0" w:line="276" w:lineRule="auto"/>
              <w:jc w:val="center"/>
              <w:rPr>
                <w:rFonts w:ascii="Arial" w:hAnsi="Arial" w:cs="Arial"/>
                <w:b/>
                <w:sz w:val="22"/>
                <w:szCs w:val="22"/>
              </w:rPr>
            </w:pPr>
            <w:proofErr w:type="spellStart"/>
            <w:r w:rsidRPr="000F0C86">
              <w:rPr>
                <w:rFonts w:ascii="Arial" w:hAnsi="Arial" w:cs="Arial"/>
                <w:b/>
                <w:sz w:val="22"/>
                <w:szCs w:val="22"/>
              </w:rPr>
              <w:t>Hangaia</w:t>
            </w:r>
            <w:proofErr w:type="spellEnd"/>
            <w:r w:rsidRPr="000F0C86">
              <w:rPr>
                <w:rFonts w:ascii="Arial" w:hAnsi="Arial" w:cs="Arial"/>
                <w:b/>
                <w:sz w:val="22"/>
                <w:szCs w:val="22"/>
              </w:rPr>
              <w:t xml:space="preserve"> </w:t>
            </w:r>
            <w:proofErr w:type="spellStart"/>
            <w:r w:rsidRPr="000F0C86">
              <w:rPr>
                <w:rFonts w:ascii="Arial" w:hAnsi="Arial" w:cs="Arial"/>
                <w:b/>
                <w:sz w:val="22"/>
                <w:szCs w:val="22"/>
              </w:rPr>
              <w:t>Ngaa</w:t>
            </w:r>
            <w:proofErr w:type="spellEnd"/>
            <w:r w:rsidRPr="000F0C86">
              <w:rPr>
                <w:rFonts w:ascii="Arial" w:hAnsi="Arial" w:cs="Arial"/>
                <w:b/>
                <w:sz w:val="22"/>
                <w:szCs w:val="22"/>
              </w:rPr>
              <w:t xml:space="preserve"> Tikanga Me </w:t>
            </w:r>
            <w:proofErr w:type="spellStart"/>
            <w:r w:rsidRPr="000F0C86">
              <w:rPr>
                <w:rFonts w:ascii="Arial" w:hAnsi="Arial" w:cs="Arial"/>
                <w:b/>
                <w:sz w:val="22"/>
                <w:szCs w:val="22"/>
              </w:rPr>
              <w:t>Ngaa</w:t>
            </w:r>
            <w:proofErr w:type="spellEnd"/>
            <w:r w:rsidRPr="000F0C86">
              <w:rPr>
                <w:rFonts w:ascii="Arial" w:hAnsi="Arial" w:cs="Arial"/>
                <w:b/>
                <w:sz w:val="22"/>
                <w:szCs w:val="22"/>
              </w:rPr>
              <w:t xml:space="preserve"> </w:t>
            </w:r>
            <w:proofErr w:type="spellStart"/>
            <w:r w:rsidRPr="000F0C86">
              <w:rPr>
                <w:rFonts w:ascii="Arial" w:hAnsi="Arial" w:cs="Arial"/>
                <w:b/>
                <w:sz w:val="22"/>
                <w:szCs w:val="22"/>
              </w:rPr>
              <w:t>Kawanatanga</w:t>
            </w:r>
            <w:proofErr w:type="spellEnd"/>
            <w:r w:rsidRPr="000F0C86">
              <w:rPr>
                <w:rFonts w:ascii="Arial" w:hAnsi="Arial" w:cs="Arial"/>
                <w:b/>
                <w:sz w:val="22"/>
                <w:szCs w:val="22"/>
              </w:rPr>
              <w:t xml:space="preserve"> o </w:t>
            </w:r>
            <w:proofErr w:type="spellStart"/>
            <w:r w:rsidRPr="000F0C86">
              <w:rPr>
                <w:rFonts w:ascii="Arial" w:hAnsi="Arial" w:cs="Arial"/>
                <w:b/>
                <w:sz w:val="22"/>
                <w:szCs w:val="22"/>
              </w:rPr>
              <w:t>taatou</w:t>
            </w:r>
            <w:proofErr w:type="spellEnd"/>
            <w:r w:rsidRPr="000F0C86">
              <w:rPr>
                <w:rFonts w:ascii="Arial" w:hAnsi="Arial" w:cs="Arial"/>
                <w:b/>
                <w:sz w:val="22"/>
                <w:szCs w:val="22"/>
              </w:rPr>
              <w:t xml:space="preserve"> ma </w:t>
            </w:r>
            <w:proofErr w:type="spellStart"/>
            <w:r w:rsidRPr="000F0C86">
              <w:rPr>
                <w:rFonts w:ascii="Arial" w:hAnsi="Arial" w:cs="Arial"/>
                <w:b/>
                <w:sz w:val="22"/>
                <w:szCs w:val="22"/>
              </w:rPr>
              <w:t>taatou</w:t>
            </w:r>
            <w:proofErr w:type="spellEnd"/>
          </w:p>
          <w:p w14:paraId="6A19FF1A" w14:textId="77777777" w:rsidR="00583C1D" w:rsidRPr="000F0C86" w:rsidRDefault="00583C1D" w:rsidP="00583C1D">
            <w:pPr>
              <w:jc w:val="center"/>
              <w:rPr>
                <w:rFonts w:ascii="Arial" w:hAnsi="Arial" w:cs="Arial"/>
                <w:sz w:val="22"/>
                <w:szCs w:val="22"/>
              </w:rPr>
            </w:pPr>
            <w:r w:rsidRPr="000F0C86">
              <w:rPr>
                <w:rFonts w:ascii="Arial" w:hAnsi="Arial" w:cs="Arial"/>
                <w:sz w:val="22"/>
                <w:szCs w:val="22"/>
              </w:rPr>
              <w:t>Strengthening opposition to alcohol licensing applications through successful partnership with Māori Wardens</w:t>
            </w:r>
          </w:p>
        </w:tc>
      </w:tr>
      <w:tr w:rsidR="006877C0" w:rsidRPr="000F0C86" w14:paraId="3B3C9330" w14:textId="77777777" w:rsidTr="006877C0">
        <w:trPr>
          <w:trHeight w:val="918"/>
        </w:trPr>
        <w:tc>
          <w:tcPr>
            <w:tcW w:w="8715" w:type="dxa"/>
            <w:tcBorders>
              <w:top w:val="single" w:sz="4" w:space="0" w:color="auto"/>
              <w:left w:val="single" w:sz="4" w:space="0" w:color="auto"/>
              <w:bottom w:val="single" w:sz="4" w:space="0" w:color="auto"/>
              <w:right w:val="single" w:sz="4" w:space="0" w:color="auto"/>
            </w:tcBorders>
          </w:tcPr>
          <w:p w14:paraId="2EE568AA" w14:textId="77777777" w:rsidR="006877C0" w:rsidRPr="000F0C86" w:rsidRDefault="006877C0" w:rsidP="006877C0">
            <w:pPr>
              <w:shd w:val="clear" w:color="auto" w:fill="FFFFFF"/>
              <w:spacing w:after="0" w:line="240" w:lineRule="auto"/>
              <w:jc w:val="both"/>
              <w:rPr>
                <w:rFonts w:ascii="Arial" w:hAnsi="Arial" w:cs="Arial"/>
                <w:b/>
                <w:sz w:val="22"/>
                <w:szCs w:val="22"/>
              </w:rPr>
            </w:pPr>
            <w:r w:rsidRPr="000F0C86">
              <w:rPr>
                <w:rFonts w:ascii="Arial" w:hAnsi="Arial" w:cs="Arial"/>
                <w:b/>
                <w:sz w:val="22"/>
                <w:szCs w:val="22"/>
              </w:rPr>
              <w:t>Setting</w:t>
            </w:r>
          </w:p>
          <w:p w14:paraId="31ED12AF" w14:textId="77777777" w:rsidR="006877C0" w:rsidRPr="000F0C86" w:rsidRDefault="006877C0" w:rsidP="006877C0">
            <w:pPr>
              <w:spacing w:line="240" w:lineRule="auto"/>
              <w:rPr>
                <w:rFonts w:ascii="Arial" w:hAnsi="Arial" w:cs="Arial"/>
                <w:sz w:val="22"/>
                <w:szCs w:val="22"/>
              </w:rPr>
            </w:pPr>
            <w:r w:rsidRPr="000F0C86">
              <w:rPr>
                <w:rFonts w:ascii="Arial" w:hAnsi="Arial" w:cs="Arial"/>
                <w:sz w:val="22"/>
                <w:szCs w:val="22"/>
              </w:rPr>
              <w:t xml:space="preserve">Alcohol was first brewed in New Zealand by Captain Cook’s men in 1773. Māori at the time were unimpressed by alcohol, which held little significance, naming it </w:t>
            </w:r>
            <w:proofErr w:type="spellStart"/>
            <w:r w:rsidRPr="000F0C86">
              <w:rPr>
                <w:rFonts w:ascii="Arial" w:hAnsi="Arial" w:cs="Arial"/>
                <w:sz w:val="22"/>
                <w:szCs w:val="22"/>
              </w:rPr>
              <w:t>waipiro</w:t>
            </w:r>
            <w:proofErr w:type="spellEnd"/>
            <w:r w:rsidRPr="000F0C86">
              <w:rPr>
                <w:rFonts w:ascii="Arial" w:hAnsi="Arial" w:cs="Arial"/>
                <w:sz w:val="22"/>
                <w:szCs w:val="22"/>
              </w:rPr>
              <w:t xml:space="preserve"> </w:t>
            </w:r>
            <w:proofErr w:type="gramStart"/>
            <w:r w:rsidRPr="000F0C86">
              <w:rPr>
                <w:rFonts w:ascii="Arial" w:hAnsi="Arial" w:cs="Arial"/>
                <w:sz w:val="22"/>
                <w:szCs w:val="22"/>
              </w:rPr>
              <w:t>–“</w:t>
            </w:r>
            <w:proofErr w:type="gramEnd"/>
            <w:r w:rsidRPr="000F0C86">
              <w:rPr>
                <w:rFonts w:ascii="Arial" w:hAnsi="Arial" w:cs="Arial"/>
                <w:sz w:val="22"/>
                <w:szCs w:val="22"/>
              </w:rPr>
              <w:t>stinking water” or “</w:t>
            </w:r>
            <w:proofErr w:type="spellStart"/>
            <w:r w:rsidRPr="000F0C86">
              <w:rPr>
                <w:rFonts w:ascii="Arial" w:hAnsi="Arial" w:cs="Arial"/>
                <w:sz w:val="22"/>
                <w:szCs w:val="22"/>
              </w:rPr>
              <w:t>wai</w:t>
            </w:r>
            <w:proofErr w:type="spellEnd"/>
            <w:r w:rsidRPr="000F0C86">
              <w:rPr>
                <w:rFonts w:ascii="Arial" w:hAnsi="Arial" w:cs="Arial"/>
                <w:sz w:val="22"/>
                <w:szCs w:val="22"/>
              </w:rPr>
              <w:t xml:space="preserve"> </w:t>
            </w:r>
            <w:proofErr w:type="spellStart"/>
            <w:r w:rsidRPr="000F0C86">
              <w:rPr>
                <w:rFonts w:ascii="Arial" w:hAnsi="Arial" w:cs="Arial"/>
                <w:sz w:val="22"/>
                <w:szCs w:val="22"/>
              </w:rPr>
              <w:t>kaha</w:t>
            </w:r>
            <w:proofErr w:type="spellEnd"/>
            <w:r w:rsidRPr="000F0C86">
              <w:rPr>
                <w:rFonts w:ascii="Arial" w:hAnsi="Arial" w:cs="Arial"/>
                <w:sz w:val="22"/>
                <w:szCs w:val="22"/>
              </w:rPr>
              <w:t xml:space="preserve">” strong water. Since then, Māori have faced land loss, discrimination and increased pressure to attain European status commodities, all of which have radically altered their relationship with </w:t>
            </w:r>
            <w:proofErr w:type="spellStart"/>
            <w:r w:rsidRPr="000F0C86">
              <w:rPr>
                <w:rFonts w:ascii="Arial" w:hAnsi="Arial" w:cs="Arial"/>
                <w:sz w:val="22"/>
                <w:szCs w:val="22"/>
              </w:rPr>
              <w:t>waipiro</w:t>
            </w:r>
            <w:proofErr w:type="spellEnd"/>
            <w:r w:rsidRPr="000F0C86">
              <w:rPr>
                <w:rFonts w:ascii="Arial" w:hAnsi="Arial" w:cs="Arial"/>
                <w:sz w:val="22"/>
                <w:szCs w:val="22"/>
              </w:rPr>
              <w:t>. Māori now have the worst alcohol related outcomes across the social and health spectr</w:t>
            </w:r>
            <w:bookmarkStart w:id="0" w:name="_GoBack"/>
            <w:bookmarkEnd w:id="0"/>
            <w:r w:rsidRPr="000F0C86">
              <w:rPr>
                <w:rFonts w:ascii="Arial" w:hAnsi="Arial" w:cs="Arial"/>
                <w:sz w:val="22"/>
                <w:szCs w:val="22"/>
              </w:rPr>
              <w:t>um in New Zealand.</w:t>
            </w:r>
          </w:p>
          <w:p w14:paraId="6EF294A5" w14:textId="77777777" w:rsidR="006877C0" w:rsidRPr="000F0C86" w:rsidRDefault="006877C0" w:rsidP="006877C0">
            <w:pPr>
              <w:spacing w:line="240" w:lineRule="auto"/>
              <w:rPr>
                <w:rFonts w:ascii="Arial" w:hAnsi="Arial" w:cs="Arial"/>
                <w:sz w:val="22"/>
                <w:szCs w:val="22"/>
              </w:rPr>
            </w:pPr>
            <w:r w:rsidRPr="000F0C86">
              <w:rPr>
                <w:rFonts w:ascii="Arial" w:hAnsi="Arial" w:cs="Arial"/>
                <w:sz w:val="22"/>
                <w:szCs w:val="22"/>
              </w:rPr>
              <w:t xml:space="preserve">In 1949, Māori Wardens were appointed to mitigate the harmful effects of alcohol on Māori. </w:t>
            </w:r>
            <w:proofErr w:type="spellStart"/>
            <w:r w:rsidRPr="000F0C86">
              <w:rPr>
                <w:rFonts w:ascii="Arial" w:hAnsi="Arial" w:cs="Arial"/>
                <w:sz w:val="22"/>
                <w:szCs w:val="22"/>
              </w:rPr>
              <w:t>Turehou</w:t>
            </w:r>
            <w:proofErr w:type="spellEnd"/>
            <w:r w:rsidRPr="000F0C86">
              <w:rPr>
                <w:rFonts w:ascii="Arial" w:hAnsi="Arial" w:cs="Arial"/>
                <w:sz w:val="22"/>
                <w:szCs w:val="22"/>
              </w:rPr>
              <w:t xml:space="preserve"> Māori Wardens Ki Otara Trust is particularly concerned with openings of alcohol outlets, which are more concentrated in areas with higher Māori populations such as South Auckland. There can be challenges for Māori working with the Crown in a way that reflects the Treaty principles.</w:t>
            </w:r>
          </w:p>
          <w:p w14:paraId="6B3D6C4F" w14:textId="77777777" w:rsidR="006877C0" w:rsidRPr="000F0C86" w:rsidRDefault="006877C0" w:rsidP="006877C0">
            <w:pPr>
              <w:spacing w:line="240" w:lineRule="auto"/>
              <w:rPr>
                <w:rFonts w:ascii="Arial" w:hAnsi="Arial" w:cs="Arial"/>
                <w:sz w:val="22"/>
                <w:szCs w:val="22"/>
              </w:rPr>
            </w:pPr>
            <w:r w:rsidRPr="000F0C86">
              <w:rPr>
                <w:rFonts w:ascii="Arial" w:hAnsi="Arial" w:cs="Arial"/>
                <w:sz w:val="22"/>
                <w:szCs w:val="22"/>
              </w:rPr>
              <w:t xml:space="preserve">Auckland Regional Public Health Service (ARPHS) is the regulatory public health agency in </w:t>
            </w:r>
            <w:proofErr w:type="gramStart"/>
            <w:r w:rsidRPr="000F0C86">
              <w:rPr>
                <w:rFonts w:ascii="Arial" w:hAnsi="Arial" w:cs="Arial"/>
                <w:sz w:val="22"/>
                <w:szCs w:val="22"/>
              </w:rPr>
              <w:t>Auckland, and</w:t>
            </w:r>
            <w:proofErr w:type="gramEnd"/>
            <w:r w:rsidRPr="000F0C86">
              <w:rPr>
                <w:rFonts w:ascii="Arial" w:hAnsi="Arial" w:cs="Arial"/>
                <w:sz w:val="22"/>
                <w:szCs w:val="22"/>
              </w:rPr>
              <w:t xml:space="preserve"> is one of three alcohol licensing enforcement agencies as per the Sale and Supply of Alcohol Act 2012. ARPHS recognises the need to improve true consultation and partnership with Māori for better outcomes in licensing applications.</w:t>
            </w:r>
          </w:p>
          <w:p w14:paraId="2E7101F8" w14:textId="77777777" w:rsidR="006877C0" w:rsidRPr="000F0C86" w:rsidRDefault="006877C0" w:rsidP="006877C0">
            <w:pPr>
              <w:spacing w:line="240" w:lineRule="auto"/>
              <w:rPr>
                <w:rFonts w:ascii="Arial" w:hAnsi="Arial" w:cs="Arial"/>
                <w:sz w:val="22"/>
                <w:szCs w:val="22"/>
              </w:rPr>
            </w:pPr>
            <w:r w:rsidRPr="000F0C86">
              <w:rPr>
                <w:rFonts w:ascii="Arial" w:hAnsi="Arial" w:cs="Arial"/>
                <w:b/>
                <w:sz w:val="22"/>
                <w:szCs w:val="22"/>
              </w:rPr>
              <w:t>Intervention</w:t>
            </w:r>
          </w:p>
          <w:p w14:paraId="406556E5" w14:textId="77777777" w:rsidR="006877C0" w:rsidRPr="000F0C86" w:rsidRDefault="006877C0" w:rsidP="006877C0">
            <w:pPr>
              <w:rPr>
                <w:rFonts w:ascii="Arial" w:hAnsi="Arial" w:cs="Arial"/>
                <w:sz w:val="22"/>
                <w:szCs w:val="22"/>
              </w:rPr>
            </w:pPr>
            <w:r w:rsidRPr="000F0C86">
              <w:rPr>
                <w:rFonts w:ascii="Arial" w:hAnsi="Arial" w:cs="Arial"/>
                <w:sz w:val="22"/>
                <w:szCs w:val="22"/>
              </w:rPr>
              <w:t>ARPHS responded to a call to action from Māori Wardens to address the detrimental effects of alcohol on Māori in South Auckland. ARPHS and Māori Wardens met in open, face to face meetings to establish better consultation methods. ARPHS’ process of reporting on applications was then reviewed to incorporate expertise from Māori Wardens as a first step. Priority areas in South Auckland were identified and incorporated into ARPHS’ regulatory protocol. A contracted specialist provided training to Māori Wardens to foster better participation in legal settings.</w:t>
            </w:r>
          </w:p>
          <w:p w14:paraId="0AC353D4" w14:textId="77777777" w:rsidR="006877C0" w:rsidRPr="000F0C86" w:rsidRDefault="006877C0" w:rsidP="006877C0">
            <w:pPr>
              <w:spacing w:line="240" w:lineRule="auto"/>
              <w:rPr>
                <w:rFonts w:ascii="Arial" w:hAnsi="Arial" w:cs="Arial"/>
                <w:sz w:val="22"/>
                <w:szCs w:val="22"/>
              </w:rPr>
            </w:pPr>
            <w:r w:rsidRPr="000F0C86">
              <w:rPr>
                <w:rFonts w:ascii="Arial" w:hAnsi="Arial" w:cs="Arial"/>
                <w:b/>
                <w:sz w:val="22"/>
                <w:szCs w:val="22"/>
              </w:rPr>
              <w:t>Outcomes</w:t>
            </w:r>
          </w:p>
          <w:p w14:paraId="0273AE2E" w14:textId="77777777" w:rsidR="006877C0" w:rsidRPr="000F0C86" w:rsidRDefault="006877C0" w:rsidP="006877C0">
            <w:pPr>
              <w:spacing w:line="240" w:lineRule="auto"/>
              <w:rPr>
                <w:rFonts w:ascii="Arial" w:hAnsi="Arial" w:cs="Arial"/>
                <w:color w:val="FF0000"/>
                <w:sz w:val="22"/>
                <w:szCs w:val="22"/>
              </w:rPr>
            </w:pPr>
            <w:r w:rsidRPr="000F0C86">
              <w:rPr>
                <w:rFonts w:ascii="Arial" w:hAnsi="Arial" w:cs="Arial"/>
                <w:sz w:val="22"/>
                <w:szCs w:val="22"/>
              </w:rPr>
              <w:t>ARPHS compliance officers now notify Māori Wardens of every upcoming alcohol licence application in the priority areas, new or renewal, before reporting on an application. The strengthened area knowledge and experience brought about from Māori Wardens is providing good results for communities.  Information gathering and sharing, including of licensing concerns, have led to alcohol licenses being declined. This coordinated approach is a commitment to the partnership, protection and participation principles of the Treaty of Waitangi and the Ottawa Charter.</w:t>
            </w:r>
          </w:p>
          <w:p w14:paraId="2AEDDD19" w14:textId="77777777" w:rsidR="006877C0" w:rsidRPr="000F0C86" w:rsidRDefault="006877C0" w:rsidP="006877C0">
            <w:pPr>
              <w:spacing w:line="240" w:lineRule="auto"/>
              <w:rPr>
                <w:rFonts w:ascii="Arial" w:hAnsi="Arial" w:cs="Arial"/>
                <w:sz w:val="22"/>
                <w:szCs w:val="22"/>
              </w:rPr>
            </w:pPr>
            <w:r w:rsidRPr="000F0C86">
              <w:rPr>
                <w:rFonts w:ascii="Arial" w:hAnsi="Arial" w:cs="Arial"/>
                <w:b/>
                <w:sz w:val="22"/>
                <w:szCs w:val="22"/>
              </w:rPr>
              <w:t>Implications</w:t>
            </w:r>
          </w:p>
          <w:p w14:paraId="0247DF61" w14:textId="5ACB1FEA" w:rsidR="006877C0" w:rsidRPr="000F0C86" w:rsidRDefault="006877C0" w:rsidP="006877C0">
            <w:pPr>
              <w:shd w:val="clear" w:color="auto" w:fill="FFFFFF"/>
              <w:spacing w:after="0" w:line="240" w:lineRule="auto"/>
              <w:jc w:val="both"/>
              <w:rPr>
                <w:rFonts w:ascii="Arial" w:hAnsi="Arial" w:cs="Arial"/>
                <w:sz w:val="22"/>
                <w:szCs w:val="22"/>
              </w:rPr>
            </w:pPr>
            <w:r w:rsidRPr="000F0C86">
              <w:rPr>
                <w:rFonts w:ascii="Arial" w:hAnsi="Arial" w:cs="Arial"/>
                <w:sz w:val="22"/>
                <w:szCs w:val="22"/>
              </w:rPr>
              <w:t>ARPHS has a model of a true successful collaboration with Māori and is implementing this across other programmes.</w:t>
            </w:r>
          </w:p>
          <w:p w14:paraId="3D943364" w14:textId="798465EE" w:rsidR="000F0C86" w:rsidRPr="000F0C86" w:rsidRDefault="000F0C86" w:rsidP="006877C0">
            <w:pPr>
              <w:shd w:val="clear" w:color="auto" w:fill="FFFFFF"/>
              <w:spacing w:after="0" w:line="240" w:lineRule="auto"/>
              <w:jc w:val="both"/>
              <w:rPr>
                <w:rFonts w:ascii="Arial" w:hAnsi="Arial" w:cs="Arial"/>
                <w:sz w:val="22"/>
                <w:szCs w:val="22"/>
              </w:rPr>
            </w:pPr>
          </w:p>
          <w:p w14:paraId="67475D29" w14:textId="37CDD7EB" w:rsidR="000F0C86" w:rsidRPr="000F0C86" w:rsidRDefault="000F0C86" w:rsidP="006877C0">
            <w:pPr>
              <w:shd w:val="clear" w:color="auto" w:fill="FFFFFF"/>
              <w:spacing w:after="0" w:line="240" w:lineRule="auto"/>
              <w:jc w:val="both"/>
              <w:rPr>
                <w:rFonts w:ascii="Arial" w:hAnsi="Arial" w:cs="Arial"/>
                <w:sz w:val="22"/>
                <w:szCs w:val="22"/>
              </w:rPr>
            </w:pPr>
            <w:r w:rsidRPr="000F0C86">
              <w:rPr>
                <w:rFonts w:ascii="Arial" w:hAnsi="Arial" w:cs="Arial"/>
                <w:b/>
                <w:sz w:val="22"/>
                <w:szCs w:val="22"/>
              </w:rPr>
              <w:t>Preferred presentation format:</w:t>
            </w:r>
            <w:r w:rsidRPr="000F0C86">
              <w:rPr>
                <w:rFonts w:ascii="Arial" w:hAnsi="Arial" w:cs="Arial"/>
                <w:sz w:val="22"/>
                <w:szCs w:val="22"/>
              </w:rPr>
              <w:t xml:space="preserve"> Poster</w:t>
            </w:r>
          </w:p>
          <w:p w14:paraId="1A5147CF" w14:textId="77777777" w:rsidR="006877C0" w:rsidRPr="000F0C86" w:rsidRDefault="006877C0" w:rsidP="006877C0">
            <w:pPr>
              <w:shd w:val="clear" w:color="auto" w:fill="FFFFFF"/>
              <w:spacing w:after="0" w:line="240" w:lineRule="auto"/>
              <w:jc w:val="both"/>
              <w:rPr>
                <w:rFonts w:ascii="Arial" w:hAnsi="Arial" w:cs="Arial"/>
                <w:b/>
                <w:sz w:val="22"/>
                <w:szCs w:val="22"/>
              </w:rPr>
            </w:pPr>
          </w:p>
        </w:tc>
      </w:tr>
    </w:tbl>
    <w:p w14:paraId="51F7CC62" w14:textId="77777777" w:rsidR="006877C0" w:rsidRPr="000F0C86" w:rsidRDefault="006877C0" w:rsidP="003F0C25">
      <w:pPr>
        <w:shd w:val="clear" w:color="auto" w:fill="FFFFFF"/>
        <w:spacing w:after="0" w:line="240" w:lineRule="auto"/>
        <w:jc w:val="both"/>
        <w:rPr>
          <w:rFonts w:ascii="Arial" w:hAnsi="Arial" w:cs="Arial"/>
        </w:rPr>
      </w:pPr>
    </w:p>
    <w:sectPr w:rsidR="006877C0" w:rsidRPr="000F0C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D77A6D"/>
    <w:multiLevelType w:val="hybridMultilevel"/>
    <w:tmpl w:val="0F627F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A8"/>
    <w:rsid w:val="000A5EDE"/>
    <w:rsid w:val="000B62DA"/>
    <w:rsid w:val="000C0F7C"/>
    <w:rsid w:val="000F0C86"/>
    <w:rsid w:val="00180789"/>
    <w:rsid w:val="00277C4E"/>
    <w:rsid w:val="002823C8"/>
    <w:rsid w:val="002A7E4A"/>
    <w:rsid w:val="00340018"/>
    <w:rsid w:val="003A7FFE"/>
    <w:rsid w:val="003B4F37"/>
    <w:rsid w:val="003F0C25"/>
    <w:rsid w:val="004E18D7"/>
    <w:rsid w:val="00561A6A"/>
    <w:rsid w:val="00583C1D"/>
    <w:rsid w:val="00585441"/>
    <w:rsid w:val="005920DB"/>
    <w:rsid w:val="005B3BA9"/>
    <w:rsid w:val="005F3E63"/>
    <w:rsid w:val="0064072D"/>
    <w:rsid w:val="00671A4A"/>
    <w:rsid w:val="006723A1"/>
    <w:rsid w:val="006877C0"/>
    <w:rsid w:val="00737F5D"/>
    <w:rsid w:val="00752A48"/>
    <w:rsid w:val="0078393F"/>
    <w:rsid w:val="007967F1"/>
    <w:rsid w:val="00892BFC"/>
    <w:rsid w:val="008B1457"/>
    <w:rsid w:val="00941050"/>
    <w:rsid w:val="00951F37"/>
    <w:rsid w:val="00A34800"/>
    <w:rsid w:val="00B30A55"/>
    <w:rsid w:val="00C80CBE"/>
    <w:rsid w:val="00C9163F"/>
    <w:rsid w:val="00CF3657"/>
    <w:rsid w:val="00D17C66"/>
    <w:rsid w:val="00D27C12"/>
    <w:rsid w:val="00D62DA8"/>
    <w:rsid w:val="00DC4EC8"/>
    <w:rsid w:val="00E45F7C"/>
    <w:rsid w:val="00E92F8B"/>
    <w:rsid w:val="00EA2746"/>
    <w:rsid w:val="00EE126A"/>
    <w:rsid w:val="00EF3BEF"/>
    <w:rsid w:val="00F336E1"/>
    <w:rsid w:val="00F52950"/>
    <w:rsid w:val="00F9131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D4815"/>
  <w15:docId w15:val="{4C3FE858-35B3-4B9E-8930-911B4961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DA8"/>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E63"/>
    <w:pPr>
      <w:ind w:left="720"/>
      <w:contextualSpacing/>
    </w:pPr>
  </w:style>
  <w:style w:type="paragraph" w:styleId="Subtitle">
    <w:name w:val="Subtitle"/>
    <w:basedOn w:val="Normal"/>
    <w:next w:val="Normal"/>
    <w:link w:val="SubtitleChar"/>
    <w:uiPriority w:val="11"/>
    <w:qFormat/>
    <w:rsid w:val="003B4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4F37"/>
    <w:rPr>
      <w:rFonts w:asciiTheme="majorHAnsi" w:eastAsiaTheme="majorEastAsia" w:hAnsiTheme="majorHAnsi" w:cstheme="majorBidi"/>
      <w:i/>
      <w:iCs/>
      <w:color w:val="4F81BD" w:themeColor="accent1"/>
      <w:spacing w:val="15"/>
      <w:sz w:val="24"/>
      <w:szCs w:val="24"/>
      <w:lang w:val="en-GB"/>
    </w:rPr>
  </w:style>
  <w:style w:type="character" w:styleId="CommentReference">
    <w:name w:val="annotation reference"/>
    <w:basedOn w:val="DefaultParagraphFont"/>
    <w:uiPriority w:val="99"/>
    <w:semiHidden/>
    <w:unhideWhenUsed/>
    <w:rsid w:val="003B4F37"/>
    <w:rPr>
      <w:sz w:val="16"/>
      <w:szCs w:val="16"/>
    </w:rPr>
  </w:style>
  <w:style w:type="paragraph" w:styleId="CommentText">
    <w:name w:val="annotation text"/>
    <w:basedOn w:val="Normal"/>
    <w:link w:val="CommentTextChar"/>
    <w:uiPriority w:val="99"/>
    <w:semiHidden/>
    <w:unhideWhenUsed/>
    <w:rsid w:val="003B4F37"/>
    <w:pPr>
      <w:spacing w:line="240" w:lineRule="auto"/>
    </w:pPr>
    <w:rPr>
      <w:sz w:val="20"/>
      <w:szCs w:val="20"/>
    </w:rPr>
  </w:style>
  <w:style w:type="character" w:customStyle="1" w:styleId="CommentTextChar">
    <w:name w:val="Comment Text Char"/>
    <w:basedOn w:val="DefaultParagraphFont"/>
    <w:link w:val="CommentText"/>
    <w:uiPriority w:val="99"/>
    <w:semiHidden/>
    <w:rsid w:val="003B4F37"/>
    <w:rPr>
      <w:sz w:val="20"/>
      <w:szCs w:val="20"/>
      <w:lang w:val="en-GB"/>
    </w:rPr>
  </w:style>
  <w:style w:type="paragraph" w:styleId="CommentSubject">
    <w:name w:val="annotation subject"/>
    <w:basedOn w:val="CommentText"/>
    <w:next w:val="CommentText"/>
    <w:link w:val="CommentSubjectChar"/>
    <w:uiPriority w:val="99"/>
    <w:semiHidden/>
    <w:unhideWhenUsed/>
    <w:rsid w:val="003B4F37"/>
    <w:rPr>
      <w:b/>
      <w:bCs/>
    </w:rPr>
  </w:style>
  <w:style w:type="character" w:customStyle="1" w:styleId="CommentSubjectChar">
    <w:name w:val="Comment Subject Char"/>
    <w:basedOn w:val="CommentTextChar"/>
    <w:link w:val="CommentSubject"/>
    <w:uiPriority w:val="99"/>
    <w:semiHidden/>
    <w:rsid w:val="003B4F37"/>
    <w:rPr>
      <w:b/>
      <w:bCs/>
      <w:sz w:val="20"/>
      <w:szCs w:val="20"/>
      <w:lang w:val="en-GB"/>
    </w:rPr>
  </w:style>
  <w:style w:type="paragraph" w:styleId="BalloonText">
    <w:name w:val="Balloon Text"/>
    <w:basedOn w:val="Normal"/>
    <w:link w:val="BalloonTextChar"/>
    <w:uiPriority w:val="99"/>
    <w:semiHidden/>
    <w:unhideWhenUsed/>
    <w:rsid w:val="003B4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F37"/>
    <w:rPr>
      <w:rFonts w:ascii="Tahoma" w:hAnsi="Tahoma" w:cs="Tahoma"/>
      <w:sz w:val="16"/>
      <w:szCs w:val="16"/>
      <w:lang w:val="en-GB"/>
    </w:rPr>
  </w:style>
  <w:style w:type="table" w:styleId="TableGrid">
    <w:name w:val="Table Grid"/>
    <w:basedOn w:val="TableNormal"/>
    <w:rsid w:val="006877C0"/>
    <w:pPr>
      <w:spacing w:after="0" w:line="240" w:lineRule="auto"/>
    </w:pPr>
    <w:rPr>
      <w:rFonts w:ascii="Times New Roman" w:eastAsia="Times New Roman" w:hAnsi="Times New Roman" w:cs="Times New Roman"/>
      <w:sz w:val="20"/>
      <w:szCs w:val="20"/>
      <w:lang w:eastAsia="en-N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4817">
      <w:bodyDiv w:val="1"/>
      <w:marLeft w:val="0"/>
      <w:marRight w:val="0"/>
      <w:marTop w:val="0"/>
      <w:marBottom w:val="0"/>
      <w:divBdr>
        <w:top w:val="none" w:sz="0" w:space="0" w:color="auto"/>
        <w:left w:val="none" w:sz="0" w:space="0" w:color="auto"/>
        <w:bottom w:val="none" w:sz="0" w:space="0" w:color="auto"/>
        <w:right w:val="none" w:sz="0" w:space="0" w:color="auto"/>
      </w:divBdr>
    </w:div>
    <w:div w:id="838539097">
      <w:bodyDiv w:val="1"/>
      <w:marLeft w:val="0"/>
      <w:marRight w:val="0"/>
      <w:marTop w:val="0"/>
      <w:marBottom w:val="0"/>
      <w:divBdr>
        <w:top w:val="none" w:sz="0" w:space="0" w:color="auto"/>
        <w:left w:val="none" w:sz="0" w:space="0" w:color="auto"/>
        <w:bottom w:val="none" w:sz="0" w:space="0" w:color="auto"/>
        <w:right w:val="none" w:sz="0" w:space="0" w:color="auto"/>
      </w:divBdr>
    </w:div>
    <w:div w:id="902911836">
      <w:bodyDiv w:val="1"/>
      <w:marLeft w:val="0"/>
      <w:marRight w:val="0"/>
      <w:marTop w:val="0"/>
      <w:marBottom w:val="0"/>
      <w:divBdr>
        <w:top w:val="none" w:sz="0" w:space="0" w:color="auto"/>
        <w:left w:val="none" w:sz="0" w:space="0" w:color="auto"/>
        <w:bottom w:val="none" w:sz="0" w:space="0" w:color="auto"/>
        <w:right w:val="none" w:sz="0" w:space="0" w:color="auto"/>
      </w:divBdr>
    </w:div>
    <w:div w:id="1292055775">
      <w:bodyDiv w:val="1"/>
      <w:marLeft w:val="0"/>
      <w:marRight w:val="0"/>
      <w:marTop w:val="0"/>
      <w:marBottom w:val="0"/>
      <w:divBdr>
        <w:top w:val="none" w:sz="0" w:space="0" w:color="auto"/>
        <w:left w:val="none" w:sz="0" w:space="0" w:color="auto"/>
        <w:bottom w:val="none" w:sz="0" w:space="0" w:color="auto"/>
        <w:right w:val="none" w:sz="0" w:space="0" w:color="auto"/>
      </w:divBdr>
    </w:div>
    <w:div w:id="205422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9E7DAD-6912-41E8-8E91-D9112384F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4BB8E-0B02-4CC7-A433-52630A08AB64}">
  <ds:schemaRefs>
    <ds:schemaRef ds:uri="http://schemas.microsoft.com/sharepoint/v3/contenttype/forms"/>
  </ds:schemaRefs>
</ds:datastoreItem>
</file>

<file path=customXml/itemProps3.xml><?xml version="1.0" encoding="utf-8"?>
<ds:datastoreItem xmlns:ds="http://schemas.openxmlformats.org/officeDocument/2006/customXml" ds:itemID="{DD0466EA-B343-493B-8DAB-80AA7ACF7B55}">
  <ds:schemaRefs>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purl.org/dc/elements/1.1/"/>
    <ds:schemaRef ds:uri="9c8a2b7b-0bee-4c48-b0a6-23db8982d3bc"/>
    <ds:schemaRef ds:uri="6911e96c-4cc4-42d5-8e43-f93924cf6a0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healthAlliance</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Shama Kukkady (ADHB)</dc:creator>
  <cp:lastModifiedBy>Ani Santos</cp:lastModifiedBy>
  <cp:revision>2</cp:revision>
  <dcterms:created xsi:type="dcterms:W3CDTF">2018-09-02T01:43:00Z</dcterms:created>
  <dcterms:modified xsi:type="dcterms:W3CDTF">2018-09-02T01:43:00Z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