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AF5853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04689F5" w:rsidR="001564A4" w:rsidRPr="0050053A" w:rsidRDefault="002F11B0" w:rsidP="00D260C6">
            <w:p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Feasibility of home-based</w:t>
            </w:r>
            <w:r w:rsidR="0059413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oscillometry</w:t>
            </w:r>
            <w:r w:rsidR="00FD47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monitoring </w:t>
            </w:r>
            <w:r w:rsidR="00FD47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3E6F3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paediatric</w:t>
            </w:r>
            <w:r w:rsidR="00FD47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Cystic Fibrosis</w:t>
            </w:r>
            <w:r w:rsidR="003E6F3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0E2E035C" w14:textId="77777777" w:rsidTr="00AF5853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6C95680" w:rsidR="001564A4" w:rsidRPr="00413B94" w:rsidRDefault="00FD47D2" w:rsidP="00D260C6">
            <w:pPr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Tamara L Blake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Kathleena Condon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00A8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Sophia </w:t>
            </w:r>
            <w:r w:rsidR="00955A8B">
              <w:rPr>
                <w:rFonts w:ascii="Arial" w:hAnsi="Arial" w:cs="Arial"/>
                <w:sz w:val="22"/>
                <w:szCs w:val="22"/>
                <w:lang w:val="en-US" w:eastAsia="en-GB"/>
              </w:rPr>
              <w:t>Panochini</w:t>
            </w:r>
            <w:r w:rsidR="00955A8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55A8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DA0360">
              <w:rPr>
                <w:rFonts w:ascii="Arial" w:hAnsi="Arial" w:cs="Arial"/>
                <w:sz w:val="22"/>
                <w:szCs w:val="22"/>
                <w:lang w:val="en-US" w:eastAsia="en-GB"/>
              </w:rPr>
              <w:t>Peter D Sly</w:t>
            </w:r>
            <w:r w:rsidR="00DA0360" w:rsidRPr="00DA036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036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Paul </w:t>
            </w:r>
            <w:r w:rsidR="00DA036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Robinson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E5BB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1564A4" w:rsidRPr="0050053A" w14:paraId="385A19D9" w14:textId="77777777" w:rsidTr="00AF585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368BA6E" w14:textId="122FAC67" w:rsidR="001564A4" w:rsidRPr="001608DA" w:rsidRDefault="001564A4" w:rsidP="00D260C6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608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D47D2"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Children’s Health and Environment Program, </w:t>
            </w:r>
            <w:r w:rsidR="00DE5BB3"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University of Queensland, </w:t>
            </w:r>
            <w:r w:rsidR="009F39C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Queensland</w:t>
            </w:r>
            <w:r w:rsidR="00DE5BB3"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5ED36BF" w14:textId="7FE4CA84" w:rsidR="00DE5BB3" w:rsidRPr="001608DA" w:rsidRDefault="00DE5BB3" w:rsidP="00D260C6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608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Queensland Children’s Hospital</w:t>
            </w:r>
            <w:r w:rsidR="00842B3E"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9F39C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Queensland</w:t>
            </w:r>
            <w:r w:rsidR="00842B3E" w:rsidRPr="00160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</w:tc>
      </w:tr>
      <w:tr w:rsidR="001564A4" w:rsidRPr="0050053A" w14:paraId="6DAF615A" w14:textId="77777777" w:rsidTr="00F025E6">
        <w:trPr>
          <w:trHeight w:hRule="exact" w:val="10822"/>
          <w:jc w:val="center"/>
        </w:trPr>
        <w:tc>
          <w:tcPr>
            <w:tcW w:w="8640" w:type="dxa"/>
            <w:shd w:val="clear" w:color="auto" w:fill="auto"/>
          </w:tcPr>
          <w:p w14:paraId="2251F6D5" w14:textId="11EAB102" w:rsidR="001564A4" w:rsidRPr="0050053A" w:rsidRDefault="001564A4" w:rsidP="008D77E3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8335C9">
              <w:rPr>
                <w:rStyle w:val="A4"/>
              </w:rPr>
              <w:t>Oscillometry</w:t>
            </w:r>
            <w:r w:rsidR="001D4FC6">
              <w:rPr>
                <w:rStyle w:val="A4"/>
              </w:rPr>
              <w:t xml:space="preserve"> (OSC)</w:t>
            </w:r>
            <w:r w:rsidR="008335C9">
              <w:rPr>
                <w:rStyle w:val="A4"/>
              </w:rPr>
              <w:t xml:space="preserve"> is a</w:t>
            </w:r>
            <w:r w:rsidR="00DA0360">
              <w:rPr>
                <w:rStyle w:val="A4"/>
              </w:rPr>
              <w:t>n effort-independent and</w:t>
            </w:r>
            <w:r w:rsidR="008335C9">
              <w:rPr>
                <w:rStyle w:val="A4"/>
              </w:rPr>
              <w:t xml:space="preserve"> high</w:t>
            </w:r>
            <w:r w:rsidR="00567DF7">
              <w:rPr>
                <w:rStyle w:val="A4"/>
              </w:rPr>
              <w:t>ly</w:t>
            </w:r>
            <w:r w:rsidR="008335C9">
              <w:rPr>
                <w:rStyle w:val="A4"/>
              </w:rPr>
              <w:t xml:space="preserve"> sensitive</w:t>
            </w:r>
            <w:r w:rsidR="00567DF7">
              <w:rPr>
                <w:rStyle w:val="A4"/>
              </w:rPr>
              <w:t xml:space="preserve"> technique</w:t>
            </w:r>
            <w:r w:rsidR="00BF75A1">
              <w:rPr>
                <w:rStyle w:val="A4"/>
              </w:rPr>
              <w:t xml:space="preserve"> that can</w:t>
            </w:r>
            <w:r w:rsidR="00567DF7">
              <w:rPr>
                <w:rStyle w:val="A4"/>
              </w:rPr>
              <w:t xml:space="preserve"> detect changes in peripheral airway</w:t>
            </w:r>
            <w:r w:rsidR="00DA0360">
              <w:rPr>
                <w:rStyle w:val="A4"/>
              </w:rPr>
              <w:t xml:space="preserve"> function</w:t>
            </w:r>
            <w:r w:rsidR="001D4FC6">
              <w:rPr>
                <w:rStyle w:val="A4"/>
              </w:rPr>
              <w:t xml:space="preserve"> </w:t>
            </w:r>
            <w:r w:rsidR="00DA0360">
              <w:rPr>
                <w:rStyle w:val="A4"/>
              </w:rPr>
              <w:t xml:space="preserve">better </w:t>
            </w:r>
            <w:r w:rsidR="001D4FC6">
              <w:rPr>
                <w:rStyle w:val="A4"/>
              </w:rPr>
              <w:t xml:space="preserve">than </w:t>
            </w:r>
            <w:r w:rsidR="00B81517">
              <w:rPr>
                <w:rStyle w:val="A4"/>
              </w:rPr>
              <w:t>spirometry</w:t>
            </w:r>
            <w:r w:rsidR="001D4FC6">
              <w:rPr>
                <w:rStyle w:val="A4"/>
              </w:rPr>
              <w:t xml:space="preserve">. </w:t>
            </w:r>
            <w:r w:rsidR="00DA0360">
              <w:rPr>
                <w:rStyle w:val="A4"/>
              </w:rPr>
              <w:t>H</w:t>
            </w:r>
            <w:r w:rsidR="009257E6">
              <w:rPr>
                <w:rStyle w:val="A4"/>
              </w:rPr>
              <w:t xml:space="preserve">ome monitoring studies have shown </w:t>
            </w:r>
            <w:r w:rsidR="00D545F6">
              <w:rPr>
                <w:rStyle w:val="A4"/>
              </w:rPr>
              <w:t>benefit</w:t>
            </w:r>
            <w:r w:rsidR="009257E6">
              <w:rPr>
                <w:rStyle w:val="A4"/>
              </w:rPr>
              <w:t xml:space="preserve"> of</w:t>
            </w:r>
            <w:r w:rsidR="0092639F">
              <w:rPr>
                <w:rStyle w:val="A4"/>
              </w:rPr>
              <w:t xml:space="preserve"> monitoring</w:t>
            </w:r>
            <w:r w:rsidR="009257E6">
              <w:rPr>
                <w:rStyle w:val="A4"/>
              </w:rPr>
              <w:t xml:space="preserve"> </w:t>
            </w:r>
            <w:r w:rsidR="00690B99">
              <w:rPr>
                <w:rStyle w:val="A4"/>
              </w:rPr>
              <w:t>day-to-day variability</w:t>
            </w:r>
            <w:r w:rsidR="009257E6">
              <w:rPr>
                <w:rStyle w:val="A4"/>
              </w:rPr>
              <w:t xml:space="preserve"> in </w:t>
            </w:r>
            <w:r w:rsidR="00DA0360">
              <w:rPr>
                <w:rStyle w:val="A4"/>
              </w:rPr>
              <w:t xml:space="preserve">OSC variables in paediatric </w:t>
            </w:r>
            <w:r w:rsidR="009257E6">
              <w:rPr>
                <w:rStyle w:val="A4"/>
              </w:rPr>
              <w:t xml:space="preserve">asthma patients, but </w:t>
            </w:r>
            <w:r w:rsidR="00B81517">
              <w:rPr>
                <w:rStyle w:val="A4"/>
              </w:rPr>
              <w:t xml:space="preserve">information </w:t>
            </w:r>
            <w:r w:rsidR="009257E6">
              <w:rPr>
                <w:rStyle w:val="A4"/>
              </w:rPr>
              <w:t xml:space="preserve">on </w:t>
            </w:r>
            <w:r w:rsidR="0092639F">
              <w:rPr>
                <w:rStyle w:val="A4"/>
              </w:rPr>
              <w:t xml:space="preserve">the </w:t>
            </w:r>
            <w:r w:rsidR="00D545F6">
              <w:rPr>
                <w:rStyle w:val="A4"/>
              </w:rPr>
              <w:t xml:space="preserve">utility </w:t>
            </w:r>
            <w:r w:rsidR="00DA0360">
              <w:rPr>
                <w:rStyle w:val="A4"/>
              </w:rPr>
              <w:t xml:space="preserve">in </w:t>
            </w:r>
            <w:r w:rsidR="00D545F6">
              <w:rPr>
                <w:rStyle w:val="A4"/>
              </w:rPr>
              <w:t xml:space="preserve">paediatric </w:t>
            </w:r>
            <w:r w:rsidR="003F11D1">
              <w:rPr>
                <w:rStyle w:val="A4"/>
              </w:rPr>
              <w:t>cystic fibrosis (</w:t>
            </w:r>
            <w:r w:rsidR="00D545F6">
              <w:rPr>
                <w:rStyle w:val="A4"/>
              </w:rPr>
              <w:t>CF</w:t>
            </w:r>
            <w:r w:rsidR="003F11D1">
              <w:rPr>
                <w:rStyle w:val="A4"/>
              </w:rPr>
              <w:t>)</w:t>
            </w:r>
            <w:r w:rsidR="00D545F6">
              <w:rPr>
                <w:rStyle w:val="A4"/>
              </w:rPr>
              <w:t xml:space="preserve"> </w:t>
            </w:r>
            <w:r w:rsidR="00DA0360">
              <w:rPr>
                <w:rStyle w:val="A4"/>
              </w:rPr>
              <w:t>remains unclear</w:t>
            </w:r>
            <w:r w:rsidR="00D545F6">
              <w:rPr>
                <w:rStyle w:val="A4"/>
              </w:rPr>
              <w:t>.</w:t>
            </w:r>
            <w:r w:rsidR="008E682F">
              <w:rPr>
                <w:rStyle w:val="A4"/>
              </w:rPr>
              <w:t xml:space="preserve"> In this pilot study, we evaluated feasibility of</w:t>
            </w:r>
            <w:r w:rsidR="00DA0360">
              <w:rPr>
                <w:rStyle w:val="A4"/>
              </w:rPr>
              <w:t>, and changes in,</w:t>
            </w:r>
            <w:r w:rsidR="008E682F">
              <w:rPr>
                <w:rStyle w:val="A4"/>
              </w:rPr>
              <w:t xml:space="preserve"> OSC </w:t>
            </w:r>
            <w:r w:rsidR="00DA0360">
              <w:rPr>
                <w:rStyle w:val="A4"/>
              </w:rPr>
              <w:t>variables with</w:t>
            </w:r>
            <w:r w:rsidR="004221F9">
              <w:rPr>
                <w:rStyle w:val="A4"/>
              </w:rPr>
              <w:t xml:space="preserve">in </w:t>
            </w:r>
            <w:r w:rsidR="00AF527B">
              <w:rPr>
                <w:rStyle w:val="A4"/>
              </w:rPr>
              <w:t>6–11-year-old</w:t>
            </w:r>
            <w:r w:rsidR="00DA0360">
              <w:rPr>
                <w:rStyle w:val="A4"/>
              </w:rPr>
              <w:t xml:space="preserve"> </w:t>
            </w:r>
            <w:r w:rsidR="004221F9">
              <w:rPr>
                <w:rStyle w:val="A4"/>
              </w:rPr>
              <w:t>patients commencing Trikafta.</w:t>
            </w:r>
          </w:p>
          <w:p w14:paraId="3D770CF7" w14:textId="77777777" w:rsidR="001564A4" w:rsidRPr="0050053A" w:rsidRDefault="001564A4" w:rsidP="008D77E3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1B39336E" w14:textId="5CEC29EB" w:rsidR="001564A4" w:rsidRPr="00D90A95" w:rsidRDefault="001564A4" w:rsidP="008D77E3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DE13E9">
              <w:rPr>
                <w:rStyle w:val="A4"/>
              </w:rPr>
              <w:t>P</w:t>
            </w:r>
            <w:r w:rsidR="00D90A95">
              <w:rPr>
                <w:rStyle w:val="A4"/>
              </w:rPr>
              <w:t>atients</w:t>
            </w:r>
            <w:r w:rsidR="00EF7B93">
              <w:rPr>
                <w:rStyle w:val="A4"/>
              </w:rPr>
              <w:t xml:space="preserve"> </w:t>
            </w:r>
            <w:r w:rsidR="00DE13E9">
              <w:rPr>
                <w:rStyle w:val="A4"/>
              </w:rPr>
              <w:t xml:space="preserve">aged 6-11 years </w:t>
            </w:r>
            <w:r w:rsidR="00913384">
              <w:rPr>
                <w:rStyle w:val="A4"/>
              </w:rPr>
              <w:t xml:space="preserve">due to commence Trikafta were recruited from </w:t>
            </w:r>
            <w:r w:rsidR="00DA0360">
              <w:rPr>
                <w:rStyle w:val="A4"/>
              </w:rPr>
              <w:t xml:space="preserve">the Queensland Children’s Hospital </w:t>
            </w:r>
            <w:r w:rsidR="0044065B">
              <w:rPr>
                <w:rStyle w:val="A4"/>
              </w:rPr>
              <w:t xml:space="preserve">CF clinic. </w:t>
            </w:r>
            <w:r w:rsidR="00DA0360">
              <w:rPr>
                <w:rStyle w:val="A4"/>
              </w:rPr>
              <w:t>Following training and installation in the home,</w:t>
            </w:r>
            <w:r w:rsidR="009C522A">
              <w:rPr>
                <w:rStyle w:val="A4"/>
              </w:rPr>
              <w:t xml:space="preserve"> daily OSC measurements </w:t>
            </w:r>
            <w:r w:rsidR="00DA0360">
              <w:rPr>
                <w:rStyle w:val="A4"/>
              </w:rPr>
              <w:t xml:space="preserve">were performed </w:t>
            </w:r>
            <w:r w:rsidR="00D70E81">
              <w:rPr>
                <w:rStyle w:val="A4"/>
              </w:rPr>
              <w:t>as 30s</w:t>
            </w:r>
            <w:r w:rsidR="007C4D06">
              <w:rPr>
                <w:rStyle w:val="A4"/>
              </w:rPr>
              <w:t>ec</w:t>
            </w:r>
            <w:r w:rsidR="00D70E81">
              <w:rPr>
                <w:rStyle w:val="A4"/>
              </w:rPr>
              <w:t xml:space="preserve"> triplicate trials </w:t>
            </w:r>
            <w:r w:rsidR="00DE13E9">
              <w:rPr>
                <w:rStyle w:val="A4"/>
              </w:rPr>
              <w:t>(</w:t>
            </w:r>
            <w:r w:rsidR="001A3435">
              <w:rPr>
                <w:rStyle w:val="A4"/>
              </w:rPr>
              <w:t>tremoflo</w:t>
            </w:r>
            <w:r w:rsidR="005176FC">
              <w:rPr>
                <w:rStyle w:val="A4"/>
              </w:rPr>
              <w:t>-</w:t>
            </w:r>
            <w:r w:rsidR="009C522A">
              <w:rPr>
                <w:rStyle w:val="A4"/>
              </w:rPr>
              <w:t>C2</w:t>
            </w:r>
            <w:r w:rsidR="00DE13E9">
              <w:rPr>
                <w:rStyle w:val="A4"/>
              </w:rPr>
              <w:t>,</w:t>
            </w:r>
            <w:r w:rsidR="009C522A">
              <w:rPr>
                <w:rStyle w:val="A4"/>
              </w:rPr>
              <w:t xml:space="preserve"> </w:t>
            </w:r>
            <w:r w:rsidR="00CF659E">
              <w:rPr>
                <w:rStyle w:val="A4"/>
              </w:rPr>
              <w:t xml:space="preserve">Thorasys, CA) </w:t>
            </w:r>
            <w:r w:rsidR="00DA0360">
              <w:rPr>
                <w:rStyle w:val="A4"/>
              </w:rPr>
              <w:t>along with</w:t>
            </w:r>
            <w:r w:rsidR="00CF659E">
              <w:rPr>
                <w:rStyle w:val="A4"/>
              </w:rPr>
              <w:t xml:space="preserve"> </w:t>
            </w:r>
            <w:r w:rsidR="008131ED">
              <w:rPr>
                <w:rStyle w:val="A4"/>
              </w:rPr>
              <w:t xml:space="preserve">a </w:t>
            </w:r>
            <w:r w:rsidR="00ED4316">
              <w:rPr>
                <w:rStyle w:val="A4"/>
              </w:rPr>
              <w:t xml:space="preserve">daily </w:t>
            </w:r>
            <w:r w:rsidR="00CF659E">
              <w:rPr>
                <w:rStyle w:val="A4"/>
              </w:rPr>
              <w:t xml:space="preserve">respiratory symptom questionnaire. </w:t>
            </w:r>
            <w:r w:rsidR="00D70E81">
              <w:rPr>
                <w:rStyle w:val="A4"/>
              </w:rPr>
              <w:t>Feasibility</w:t>
            </w:r>
            <w:r w:rsidR="00B838CF">
              <w:rPr>
                <w:rStyle w:val="A4"/>
              </w:rPr>
              <w:t>,</w:t>
            </w:r>
            <w:r w:rsidR="00D70E81">
              <w:rPr>
                <w:rStyle w:val="A4"/>
              </w:rPr>
              <w:t xml:space="preserve"> </w:t>
            </w:r>
            <w:r w:rsidR="00DE13E9">
              <w:rPr>
                <w:rStyle w:val="A4"/>
              </w:rPr>
              <w:t xml:space="preserve">changes in conventional </w:t>
            </w:r>
            <w:r w:rsidR="00B838CF">
              <w:rPr>
                <w:rStyle w:val="A4"/>
              </w:rPr>
              <w:t xml:space="preserve">OSC variables </w:t>
            </w:r>
            <w:r w:rsidR="00DE13E9">
              <w:rPr>
                <w:rStyle w:val="A4"/>
              </w:rPr>
              <w:t>and day-to-day variability</w:t>
            </w:r>
            <w:r w:rsidR="00674013">
              <w:rPr>
                <w:rStyle w:val="A4"/>
              </w:rPr>
              <w:t xml:space="preserve"> during</w:t>
            </w:r>
            <w:r w:rsidR="00DE13E9">
              <w:rPr>
                <w:rStyle w:val="A4"/>
              </w:rPr>
              <w:t xml:space="preserve"> exacerbation (APEx) or </w:t>
            </w:r>
            <w:r w:rsidR="008131ED">
              <w:rPr>
                <w:rStyle w:val="A4"/>
              </w:rPr>
              <w:t xml:space="preserve">Trikafta </w:t>
            </w:r>
            <w:r w:rsidR="00DE13E9">
              <w:rPr>
                <w:rStyle w:val="A4"/>
              </w:rPr>
              <w:t xml:space="preserve">use </w:t>
            </w:r>
            <w:r w:rsidR="008131ED">
              <w:rPr>
                <w:rStyle w:val="A4"/>
              </w:rPr>
              <w:t>were evaluated.</w:t>
            </w:r>
            <w:r w:rsidR="001B6C29">
              <w:rPr>
                <w:rStyle w:val="A4"/>
              </w:rPr>
              <w:t xml:space="preserve"> </w:t>
            </w:r>
            <w:r w:rsidR="00DE13E9">
              <w:rPr>
                <w:rStyle w:val="A4"/>
              </w:rPr>
              <w:t>Day-to-day variability was expressed as c</w:t>
            </w:r>
            <w:r w:rsidR="009F7470">
              <w:rPr>
                <w:rStyle w:val="A4"/>
              </w:rPr>
              <w:t>oefficient</w:t>
            </w:r>
            <w:r w:rsidR="00A1242B">
              <w:rPr>
                <w:rStyle w:val="A4"/>
              </w:rPr>
              <w:t xml:space="preserve"> of variation (CoV) </w:t>
            </w:r>
            <w:r w:rsidR="009F7470">
              <w:rPr>
                <w:rStyle w:val="A4"/>
              </w:rPr>
              <w:t>in R5, X5 and AX.</w:t>
            </w:r>
            <w:r w:rsidR="001236A9">
              <w:rPr>
                <w:rStyle w:val="A4"/>
              </w:rPr>
              <w:t xml:space="preserve">  </w:t>
            </w:r>
          </w:p>
          <w:p w14:paraId="5029BAE6" w14:textId="77777777" w:rsidR="001564A4" w:rsidRPr="0050053A" w:rsidRDefault="001564A4" w:rsidP="008D77E3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34A8EEC1" w14:textId="511BA2E8" w:rsidR="007D2C71" w:rsidRPr="00747C4B" w:rsidRDefault="001564A4" w:rsidP="008D77E3">
            <w:pPr>
              <w:pStyle w:val="Pa12"/>
              <w:spacing w:line="240" w:lineRule="auto"/>
              <w:jc w:val="both"/>
              <w:rPr>
                <w:rStyle w:val="A4"/>
                <w:i/>
                <w:iCs/>
              </w:rPr>
            </w:pPr>
            <w:r w:rsidRPr="0050053A">
              <w:rPr>
                <w:rStyle w:val="A4"/>
                <w:b/>
                <w:bCs/>
              </w:rPr>
              <w:t>Results:</w:t>
            </w:r>
            <w:r w:rsidR="00BD4250">
              <w:rPr>
                <w:rStyle w:val="A4"/>
                <w:b/>
                <w:bCs/>
              </w:rPr>
              <w:t xml:space="preserve"> </w:t>
            </w:r>
            <w:r w:rsidR="00C71540" w:rsidRPr="00AE5704">
              <w:rPr>
                <w:rStyle w:val="A4"/>
              </w:rPr>
              <w:t>Nine patients</w:t>
            </w:r>
            <w:r w:rsidR="00C71540">
              <w:rPr>
                <w:rStyle w:val="A4"/>
              </w:rPr>
              <w:t xml:space="preserve"> </w:t>
            </w:r>
            <w:r w:rsidR="00AE5704">
              <w:rPr>
                <w:rStyle w:val="A4"/>
              </w:rPr>
              <w:t xml:space="preserve">(5 female, </w:t>
            </w:r>
            <w:proofErr w:type="spellStart"/>
            <w:r w:rsidR="00AE5704">
              <w:rPr>
                <w:rStyle w:val="A4"/>
              </w:rPr>
              <w:t>mean</w:t>
            </w:r>
            <w:r w:rsidR="008668F1">
              <w:rPr>
                <w:rStyle w:val="A4"/>
              </w:rPr>
              <w:t>±SD</w:t>
            </w:r>
            <w:proofErr w:type="spellEnd"/>
            <w:r w:rsidR="000B2C0A">
              <w:rPr>
                <w:rStyle w:val="A4"/>
              </w:rPr>
              <w:t xml:space="preserve"> 10.2±1.2 years-old) </w:t>
            </w:r>
            <w:r w:rsidR="00C71540">
              <w:rPr>
                <w:rStyle w:val="A4"/>
              </w:rPr>
              <w:t>completed monitoring</w:t>
            </w:r>
            <w:r w:rsidR="000B2C0A">
              <w:rPr>
                <w:rStyle w:val="A4"/>
              </w:rPr>
              <w:t xml:space="preserve"> </w:t>
            </w:r>
            <w:r w:rsidR="00C71540">
              <w:rPr>
                <w:rStyle w:val="A4"/>
              </w:rPr>
              <w:t>for</w:t>
            </w:r>
            <w:r w:rsidR="00D70E81">
              <w:rPr>
                <w:rStyle w:val="A4"/>
              </w:rPr>
              <w:t xml:space="preserve"> </w:t>
            </w:r>
            <w:r w:rsidR="00F67333">
              <w:rPr>
                <w:rStyle w:val="A4"/>
              </w:rPr>
              <w:t>49</w:t>
            </w:r>
            <w:r w:rsidR="00870FB8">
              <w:rPr>
                <w:rStyle w:val="A4"/>
              </w:rPr>
              <w:t>±</w:t>
            </w:r>
            <w:r w:rsidR="00BC1079">
              <w:rPr>
                <w:rStyle w:val="A4"/>
              </w:rPr>
              <w:t>1</w:t>
            </w:r>
            <w:r w:rsidR="003F2F52">
              <w:rPr>
                <w:rStyle w:val="A4"/>
              </w:rPr>
              <w:t>8</w:t>
            </w:r>
            <w:r w:rsidR="00870FB8">
              <w:rPr>
                <w:rStyle w:val="A4"/>
              </w:rPr>
              <w:t xml:space="preserve"> (</w:t>
            </w:r>
            <w:r w:rsidR="002508B4">
              <w:rPr>
                <w:rStyle w:val="A4"/>
              </w:rPr>
              <w:t xml:space="preserve">min-max </w:t>
            </w:r>
            <w:r w:rsidR="00D70E81">
              <w:rPr>
                <w:rStyle w:val="A4"/>
              </w:rPr>
              <w:t>29-85)</w:t>
            </w:r>
            <w:r w:rsidR="00C71540">
              <w:rPr>
                <w:rStyle w:val="A4"/>
              </w:rPr>
              <w:t xml:space="preserve"> days</w:t>
            </w:r>
            <w:r w:rsidR="007C2374">
              <w:rPr>
                <w:rStyle w:val="A4"/>
              </w:rPr>
              <w:t>,</w:t>
            </w:r>
            <w:r w:rsidR="007065C5">
              <w:rPr>
                <w:rStyle w:val="A4"/>
              </w:rPr>
              <w:t xml:space="preserve"> </w:t>
            </w:r>
            <w:r w:rsidR="00870FB8">
              <w:rPr>
                <w:rStyle w:val="A4"/>
              </w:rPr>
              <w:t xml:space="preserve">including </w:t>
            </w:r>
            <w:r w:rsidR="007065C5">
              <w:rPr>
                <w:rStyle w:val="A4"/>
              </w:rPr>
              <w:t xml:space="preserve">Trikfata </w:t>
            </w:r>
            <w:r w:rsidR="00870FB8">
              <w:rPr>
                <w:rStyle w:val="A4"/>
              </w:rPr>
              <w:t>use for</w:t>
            </w:r>
            <w:r w:rsidR="006D4A76">
              <w:rPr>
                <w:rStyle w:val="A4"/>
              </w:rPr>
              <w:t xml:space="preserve"> </w:t>
            </w:r>
            <w:r w:rsidR="005771FA">
              <w:rPr>
                <w:rStyle w:val="A4"/>
              </w:rPr>
              <w:t>21</w:t>
            </w:r>
            <w:r w:rsidR="00870FB8">
              <w:rPr>
                <w:rStyle w:val="A4"/>
              </w:rPr>
              <w:t>±</w:t>
            </w:r>
            <w:r w:rsidR="0010026C">
              <w:rPr>
                <w:rStyle w:val="A4"/>
              </w:rPr>
              <w:t>7</w:t>
            </w:r>
            <w:r w:rsidR="00870FB8">
              <w:rPr>
                <w:rStyle w:val="A4"/>
              </w:rPr>
              <w:t xml:space="preserve"> (</w:t>
            </w:r>
            <w:r w:rsidR="00EA6977">
              <w:rPr>
                <w:rStyle w:val="A4"/>
              </w:rPr>
              <w:t>9-26)</w:t>
            </w:r>
            <w:r w:rsidR="00870FB8">
              <w:rPr>
                <w:rStyle w:val="A4"/>
              </w:rPr>
              <w:t xml:space="preserve"> days</w:t>
            </w:r>
            <w:r w:rsidR="00BC1079">
              <w:rPr>
                <w:rStyle w:val="A4"/>
              </w:rPr>
              <w:t xml:space="preserve">. </w:t>
            </w:r>
            <w:r w:rsidR="00D70E81">
              <w:rPr>
                <w:rStyle w:val="A4"/>
              </w:rPr>
              <w:t>Technically acceptable data w</w:t>
            </w:r>
            <w:r w:rsidR="00B81517">
              <w:rPr>
                <w:rStyle w:val="A4"/>
              </w:rPr>
              <w:t>ere</w:t>
            </w:r>
            <w:r w:rsidR="00D70E81">
              <w:rPr>
                <w:rStyle w:val="A4"/>
              </w:rPr>
              <w:t xml:space="preserve"> collected on all days </w:t>
            </w:r>
            <w:r w:rsidR="00596B02">
              <w:rPr>
                <w:rStyle w:val="A4"/>
              </w:rPr>
              <w:t xml:space="preserve">where </w:t>
            </w:r>
            <w:r w:rsidR="00D70E81">
              <w:rPr>
                <w:rStyle w:val="A4"/>
              </w:rPr>
              <w:t xml:space="preserve">tests were attempted. </w:t>
            </w:r>
            <w:r w:rsidR="00870FB8">
              <w:rPr>
                <w:rStyle w:val="A4"/>
              </w:rPr>
              <w:t>Feasibility was 79% based on total eligible days (</w:t>
            </w:r>
            <w:r w:rsidR="00FB5396">
              <w:rPr>
                <w:rStyle w:val="A4"/>
              </w:rPr>
              <w:t>3</w:t>
            </w:r>
            <w:r w:rsidR="006F63AB">
              <w:rPr>
                <w:rStyle w:val="A4"/>
              </w:rPr>
              <w:t>48/</w:t>
            </w:r>
            <w:r w:rsidR="000B4A60">
              <w:rPr>
                <w:rStyle w:val="A4"/>
              </w:rPr>
              <w:t>441</w:t>
            </w:r>
            <w:r w:rsidR="00630938">
              <w:rPr>
                <w:rStyle w:val="A4"/>
              </w:rPr>
              <w:t>;</w:t>
            </w:r>
            <w:r w:rsidR="00D70E81">
              <w:rPr>
                <w:rStyle w:val="A4"/>
              </w:rPr>
              <w:t xml:space="preserve"> 4</w:t>
            </w:r>
            <w:r w:rsidR="00630938">
              <w:rPr>
                <w:rStyle w:val="A4"/>
              </w:rPr>
              <w:t>7</w:t>
            </w:r>
            <w:r w:rsidR="00D70E81">
              <w:rPr>
                <w:rStyle w:val="A4"/>
              </w:rPr>
              <w:t xml:space="preserve">±17 </w:t>
            </w:r>
            <w:r w:rsidR="00870FB8">
              <w:rPr>
                <w:rStyle w:val="A4"/>
              </w:rPr>
              <w:t xml:space="preserve">days </w:t>
            </w:r>
            <w:r w:rsidR="00D70E81">
              <w:rPr>
                <w:rStyle w:val="A4"/>
              </w:rPr>
              <w:t>p</w:t>
            </w:r>
            <w:r w:rsidR="007114B8">
              <w:rPr>
                <w:rStyle w:val="A4"/>
              </w:rPr>
              <w:t>er</w:t>
            </w:r>
            <w:r w:rsidR="00870FB8">
              <w:rPr>
                <w:rStyle w:val="A4"/>
              </w:rPr>
              <w:t xml:space="preserve"> </w:t>
            </w:r>
            <w:r w:rsidR="00D70E81">
              <w:rPr>
                <w:rStyle w:val="A4"/>
              </w:rPr>
              <w:t xml:space="preserve">patient) and </w:t>
            </w:r>
            <w:r w:rsidR="00870FB8">
              <w:rPr>
                <w:rStyle w:val="A4"/>
              </w:rPr>
              <w:t>82%</w:t>
            </w:r>
            <w:r w:rsidR="00D70E81">
              <w:rPr>
                <w:rStyle w:val="A4"/>
              </w:rPr>
              <w:t xml:space="preserve"> omitting days </w:t>
            </w:r>
            <w:r w:rsidR="00870FB8">
              <w:rPr>
                <w:rStyle w:val="A4"/>
              </w:rPr>
              <w:t xml:space="preserve">where </w:t>
            </w:r>
            <w:r w:rsidR="00D70E81">
              <w:rPr>
                <w:rStyle w:val="A4"/>
              </w:rPr>
              <w:t>away from home</w:t>
            </w:r>
            <w:r w:rsidR="00870FB8">
              <w:rPr>
                <w:rStyle w:val="A4"/>
              </w:rPr>
              <w:t>-based</w:t>
            </w:r>
            <w:r w:rsidR="00D70E81">
              <w:rPr>
                <w:rStyle w:val="A4"/>
              </w:rPr>
              <w:t xml:space="preserve"> </w:t>
            </w:r>
            <w:r w:rsidR="00870FB8">
              <w:rPr>
                <w:rStyle w:val="A4"/>
              </w:rPr>
              <w:t xml:space="preserve">equipment </w:t>
            </w:r>
            <w:r w:rsidR="00D70E81">
              <w:rPr>
                <w:rStyle w:val="A4"/>
              </w:rPr>
              <w:t>(</w:t>
            </w:r>
            <w:r w:rsidR="00870FB8">
              <w:rPr>
                <w:rStyle w:val="A4"/>
              </w:rPr>
              <w:t>348/424 days</w:t>
            </w:r>
            <w:r w:rsidR="00630938">
              <w:rPr>
                <w:rStyle w:val="A4"/>
              </w:rPr>
              <w:t>;</w:t>
            </w:r>
            <w:r w:rsidR="00D70E81">
              <w:rPr>
                <w:rStyle w:val="A4"/>
              </w:rPr>
              <w:t xml:space="preserve"> </w:t>
            </w:r>
            <w:r w:rsidR="00630938">
              <w:rPr>
                <w:rStyle w:val="A4"/>
              </w:rPr>
              <w:t>39</w:t>
            </w:r>
            <w:r w:rsidR="00D70E81">
              <w:rPr>
                <w:rStyle w:val="A4"/>
              </w:rPr>
              <w:t>±</w:t>
            </w:r>
            <w:r w:rsidR="0072014F">
              <w:rPr>
                <w:rStyle w:val="A4"/>
              </w:rPr>
              <w:t>15</w:t>
            </w:r>
            <w:r w:rsidR="00D70E81">
              <w:rPr>
                <w:rStyle w:val="A4"/>
              </w:rPr>
              <w:t xml:space="preserve"> </w:t>
            </w:r>
            <w:r w:rsidR="00870FB8">
              <w:rPr>
                <w:rStyle w:val="A4"/>
              </w:rPr>
              <w:t xml:space="preserve">days </w:t>
            </w:r>
            <w:r w:rsidR="00D70E81">
              <w:rPr>
                <w:rStyle w:val="A4"/>
              </w:rPr>
              <w:t>p</w:t>
            </w:r>
            <w:r w:rsidR="007114B8">
              <w:rPr>
                <w:rStyle w:val="A4"/>
              </w:rPr>
              <w:t>er</w:t>
            </w:r>
            <w:r w:rsidR="00870FB8">
              <w:rPr>
                <w:rStyle w:val="A4"/>
              </w:rPr>
              <w:t xml:space="preserve"> </w:t>
            </w:r>
            <w:r w:rsidR="00D70E81">
              <w:rPr>
                <w:rStyle w:val="A4"/>
              </w:rPr>
              <w:t>patien</w:t>
            </w:r>
            <w:r w:rsidR="00D70E81" w:rsidRPr="00CA6B06">
              <w:rPr>
                <w:rStyle w:val="A4"/>
              </w:rPr>
              <w:t>t).</w:t>
            </w:r>
            <w:r w:rsidR="00293989" w:rsidRPr="00CA6B06">
              <w:rPr>
                <w:rStyle w:val="A4"/>
              </w:rPr>
              <w:t xml:space="preserve"> </w:t>
            </w:r>
            <w:r w:rsidR="00692310" w:rsidRPr="00CA6B06">
              <w:rPr>
                <w:rStyle w:val="A4"/>
              </w:rPr>
              <w:t>Four</w:t>
            </w:r>
            <w:r w:rsidR="00372234" w:rsidRPr="00CA6B06">
              <w:rPr>
                <w:rStyle w:val="A4"/>
              </w:rPr>
              <w:t xml:space="preserve"> participants experienced </w:t>
            </w:r>
            <w:r w:rsidR="00F93886">
              <w:rPr>
                <w:rStyle w:val="A4"/>
              </w:rPr>
              <w:t>an AP</w:t>
            </w:r>
            <w:r w:rsidR="00230766" w:rsidRPr="00CA6B06">
              <w:rPr>
                <w:rStyle w:val="A4"/>
              </w:rPr>
              <w:t>Ex</w:t>
            </w:r>
            <w:r w:rsidR="00372234" w:rsidRPr="00CA6B06">
              <w:rPr>
                <w:rStyle w:val="A4"/>
              </w:rPr>
              <w:t xml:space="preserve"> during the </w:t>
            </w:r>
            <w:r w:rsidR="00D70E81" w:rsidRPr="00CA6B06">
              <w:rPr>
                <w:rStyle w:val="A4"/>
              </w:rPr>
              <w:t xml:space="preserve">baseline </w:t>
            </w:r>
            <w:r w:rsidR="007114B8">
              <w:rPr>
                <w:rStyle w:val="A4"/>
              </w:rPr>
              <w:t>perio</w:t>
            </w:r>
            <w:r w:rsidR="009440BE">
              <w:rPr>
                <w:rStyle w:val="A4"/>
              </w:rPr>
              <w:t>d</w:t>
            </w:r>
            <w:r w:rsidR="001E704A" w:rsidRPr="00CA6B06">
              <w:rPr>
                <w:rStyle w:val="A4"/>
              </w:rPr>
              <w:t xml:space="preserve">, </w:t>
            </w:r>
            <w:r w:rsidR="00766AFF" w:rsidRPr="00CA6B06">
              <w:rPr>
                <w:rStyle w:val="A4"/>
              </w:rPr>
              <w:t xml:space="preserve">with </w:t>
            </w:r>
            <w:r w:rsidR="00692310" w:rsidRPr="00CA6B06">
              <w:rPr>
                <w:rStyle w:val="A4"/>
              </w:rPr>
              <w:t>three</w:t>
            </w:r>
            <w:r w:rsidR="00766AFF" w:rsidRPr="00CA6B06">
              <w:rPr>
                <w:rStyle w:val="A4"/>
              </w:rPr>
              <w:t xml:space="preserve"> </w:t>
            </w:r>
            <w:r w:rsidR="004A355D" w:rsidRPr="00CA6B06">
              <w:rPr>
                <w:rStyle w:val="A4"/>
              </w:rPr>
              <w:t>commencing oral antibiotic</w:t>
            </w:r>
            <w:r w:rsidR="00CE6133">
              <w:rPr>
                <w:rStyle w:val="A4"/>
              </w:rPr>
              <w:t>s</w:t>
            </w:r>
            <w:r w:rsidR="00844348">
              <w:rPr>
                <w:rStyle w:val="A4"/>
              </w:rPr>
              <w:t>.</w:t>
            </w:r>
            <w:r w:rsidR="001E5552">
              <w:rPr>
                <w:rStyle w:val="A4"/>
              </w:rPr>
              <w:t xml:space="preserve"> </w:t>
            </w:r>
            <w:r w:rsidR="005436B3">
              <w:rPr>
                <w:rStyle w:val="A4"/>
              </w:rPr>
              <w:t>Compared to baseline</w:t>
            </w:r>
            <w:r w:rsidR="007C3F0C">
              <w:rPr>
                <w:rStyle w:val="A4"/>
              </w:rPr>
              <w:t xml:space="preserve"> (symptom free)</w:t>
            </w:r>
            <w:r w:rsidR="005436B3">
              <w:rPr>
                <w:rStyle w:val="A4"/>
              </w:rPr>
              <w:t>,</w:t>
            </w:r>
            <w:r w:rsidR="007C3F0C">
              <w:rPr>
                <w:rStyle w:val="A4"/>
              </w:rPr>
              <w:t xml:space="preserve"> </w:t>
            </w:r>
            <w:r w:rsidR="005436B3">
              <w:rPr>
                <w:rStyle w:val="A4"/>
              </w:rPr>
              <w:t>OSC variables</w:t>
            </w:r>
            <w:r w:rsidR="007C3F0C">
              <w:rPr>
                <w:rStyle w:val="A4"/>
              </w:rPr>
              <w:t xml:space="preserve"> increased </w:t>
            </w:r>
            <w:r w:rsidR="005436B3">
              <w:rPr>
                <w:rStyle w:val="A4"/>
              </w:rPr>
              <w:t>during exacerbation and improve</w:t>
            </w:r>
            <w:r w:rsidR="00885058">
              <w:rPr>
                <w:rStyle w:val="A4"/>
              </w:rPr>
              <w:t>d</w:t>
            </w:r>
            <w:r w:rsidR="005436B3">
              <w:rPr>
                <w:rStyle w:val="A4"/>
              </w:rPr>
              <w:t xml:space="preserve"> with Trikafta use, although not reaching statistical significance </w:t>
            </w:r>
            <w:r w:rsidR="00EB757E">
              <w:rPr>
                <w:rStyle w:val="A4"/>
              </w:rPr>
              <w:t>(p</w:t>
            </w:r>
            <w:r w:rsidR="0073490C">
              <w:rPr>
                <w:rStyle w:val="A4"/>
              </w:rPr>
              <w:t>&gt;</w:t>
            </w:r>
            <w:r w:rsidR="00EB757E">
              <w:rPr>
                <w:rStyle w:val="A4"/>
              </w:rPr>
              <w:t xml:space="preserve">0.05) </w:t>
            </w:r>
            <w:r w:rsidR="005436B3">
              <w:rPr>
                <w:rStyle w:val="A4"/>
              </w:rPr>
              <w:t>due to limited pilot data</w:t>
            </w:r>
            <w:r w:rsidR="00584C39">
              <w:rPr>
                <w:rStyle w:val="A4"/>
              </w:rPr>
              <w:t xml:space="preserve"> (table</w:t>
            </w:r>
            <w:r w:rsidR="00EB757E">
              <w:rPr>
                <w:rStyle w:val="A4"/>
              </w:rPr>
              <w:t xml:space="preserve"> </w:t>
            </w:r>
            <w:r w:rsidR="00C2107C">
              <w:rPr>
                <w:rStyle w:val="A4"/>
              </w:rPr>
              <w:t>– results reported as median (25</w:t>
            </w:r>
            <w:r w:rsidR="00C2107C" w:rsidRPr="00C2107C">
              <w:rPr>
                <w:rStyle w:val="A4"/>
                <w:vertAlign w:val="superscript"/>
              </w:rPr>
              <w:t>th</w:t>
            </w:r>
            <w:r w:rsidR="00C2107C">
              <w:rPr>
                <w:rStyle w:val="A4"/>
              </w:rPr>
              <w:t>-75</w:t>
            </w:r>
            <w:r w:rsidR="00C2107C" w:rsidRPr="00C2107C">
              <w:rPr>
                <w:rStyle w:val="A4"/>
                <w:vertAlign w:val="superscript"/>
              </w:rPr>
              <w:t>th</w:t>
            </w:r>
            <w:r w:rsidR="00C2107C">
              <w:rPr>
                <w:rStyle w:val="A4"/>
              </w:rPr>
              <w:t>%)</w:t>
            </w:r>
            <w:r w:rsidR="005436B3">
              <w:rPr>
                <w:rStyle w:val="A4"/>
              </w:rPr>
              <w:t xml:space="preserve">. </w:t>
            </w:r>
          </w:p>
          <w:p w14:paraId="6774378E" w14:textId="77777777" w:rsidR="00142BA9" w:rsidRDefault="00142BA9" w:rsidP="00142BA9">
            <w:pPr>
              <w:pStyle w:val="Defaul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2112"/>
              <w:gridCol w:w="2112"/>
              <w:gridCol w:w="2096"/>
            </w:tblGrid>
            <w:tr w:rsidR="00F025E6" w14:paraId="4B4B2351" w14:textId="77777777" w:rsidTr="00F025E6">
              <w:tc>
                <w:tcPr>
                  <w:tcW w:w="2196" w:type="dxa"/>
                </w:tcPr>
                <w:p w14:paraId="72B56495" w14:textId="77777777" w:rsidR="00F025E6" w:rsidRDefault="00F025E6" w:rsidP="00142BA9">
                  <w:pPr>
                    <w:pStyle w:val="Default"/>
                  </w:pPr>
                </w:p>
              </w:tc>
              <w:tc>
                <w:tcPr>
                  <w:tcW w:w="2196" w:type="dxa"/>
                </w:tcPr>
                <w:p w14:paraId="33E0ACD4" w14:textId="28AFB9FD" w:rsidR="00F025E6" w:rsidRDefault="00F025E6" w:rsidP="00F025E6">
                  <w:pPr>
                    <w:pStyle w:val="Default"/>
                    <w:jc w:val="center"/>
                  </w:pPr>
                  <w:r>
                    <w:t>Baseline, well</w:t>
                  </w:r>
                </w:p>
              </w:tc>
              <w:tc>
                <w:tcPr>
                  <w:tcW w:w="2196" w:type="dxa"/>
                </w:tcPr>
                <w:p w14:paraId="4D530EDE" w14:textId="5770E390" w:rsidR="00F025E6" w:rsidRDefault="00F025E6" w:rsidP="00F025E6">
                  <w:pPr>
                    <w:pStyle w:val="Default"/>
                    <w:jc w:val="center"/>
                  </w:pPr>
                  <w:r>
                    <w:t>Baseline, APEx</w:t>
                  </w:r>
                </w:p>
              </w:tc>
              <w:tc>
                <w:tcPr>
                  <w:tcW w:w="2196" w:type="dxa"/>
                </w:tcPr>
                <w:p w14:paraId="066E29ED" w14:textId="778A06F4" w:rsidR="00F025E6" w:rsidRDefault="00F025E6" w:rsidP="00F025E6">
                  <w:pPr>
                    <w:pStyle w:val="Default"/>
                    <w:jc w:val="center"/>
                  </w:pPr>
                  <w:r>
                    <w:t>During Trikafta</w:t>
                  </w:r>
                </w:p>
              </w:tc>
            </w:tr>
            <w:tr w:rsidR="00F025E6" w14:paraId="6DBEE2AC" w14:textId="77777777" w:rsidTr="00F025E6">
              <w:tc>
                <w:tcPr>
                  <w:tcW w:w="2196" w:type="dxa"/>
                </w:tcPr>
                <w:p w14:paraId="1C96B970" w14:textId="7DF76C57" w:rsidR="00F025E6" w:rsidRDefault="00F025E6" w:rsidP="00F025E6">
                  <w:pPr>
                    <w:pStyle w:val="Default"/>
                  </w:pPr>
                  <w:r w:rsidRPr="00995093">
                    <w:rPr>
                      <w:rStyle w:val="A4"/>
                    </w:rPr>
                    <w:t>R5</w:t>
                  </w:r>
                  <w:r>
                    <w:rPr>
                      <w:rStyle w:val="A4"/>
                    </w:rPr>
                    <w:t xml:space="preserve"> (cm H</w:t>
                  </w:r>
                  <w:r w:rsidRPr="004D75B0">
                    <w:rPr>
                      <w:rStyle w:val="A4"/>
                      <w:vertAlign w:val="subscript"/>
                    </w:rPr>
                    <w:t>2</w:t>
                  </w:r>
                  <w:r>
                    <w:rPr>
                      <w:rStyle w:val="A4"/>
                    </w:rPr>
                    <w:t>Os/L)</w:t>
                  </w:r>
                </w:p>
              </w:tc>
              <w:tc>
                <w:tcPr>
                  <w:tcW w:w="2196" w:type="dxa"/>
                </w:tcPr>
                <w:p w14:paraId="5D54BD73" w14:textId="665C92C6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5.25 (5.03, 6.23)</w:t>
                  </w:r>
                </w:p>
              </w:tc>
              <w:tc>
                <w:tcPr>
                  <w:tcW w:w="2196" w:type="dxa"/>
                </w:tcPr>
                <w:p w14:paraId="16F4D4B9" w14:textId="69C3EF1C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5.87 (5.38, 6.51)</w:t>
                  </w:r>
                </w:p>
              </w:tc>
              <w:tc>
                <w:tcPr>
                  <w:tcW w:w="2196" w:type="dxa"/>
                </w:tcPr>
                <w:p w14:paraId="49917EEB" w14:textId="14BCDCAA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5.14 (4.56, 5.64)</w:t>
                  </w:r>
                </w:p>
              </w:tc>
            </w:tr>
            <w:tr w:rsidR="00F025E6" w14:paraId="6238E6B3" w14:textId="77777777" w:rsidTr="00F025E6">
              <w:tc>
                <w:tcPr>
                  <w:tcW w:w="2196" w:type="dxa"/>
                </w:tcPr>
                <w:p w14:paraId="4F0AD080" w14:textId="18043374" w:rsidR="00F025E6" w:rsidRDefault="00F025E6" w:rsidP="00F025E6">
                  <w:pPr>
                    <w:pStyle w:val="Default"/>
                  </w:pPr>
                  <w:r w:rsidRPr="00995093">
                    <w:rPr>
                      <w:rStyle w:val="A4"/>
                    </w:rPr>
                    <w:t>X5</w:t>
                  </w:r>
                  <w:r>
                    <w:rPr>
                      <w:rStyle w:val="A4"/>
                    </w:rPr>
                    <w:t xml:space="preserve"> (cm H</w:t>
                  </w:r>
                  <w:r w:rsidRPr="004D75B0">
                    <w:rPr>
                      <w:rStyle w:val="A4"/>
                      <w:vertAlign w:val="subscript"/>
                    </w:rPr>
                    <w:t>2</w:t>
                  </w:r>
                  <w:r>
                    <w:rPr>
                      <w:rStyle w:val="A4"/>
                    </w:rPr>
                    <w:t>Os/L)</w:t>
                  </w:r>
                </w:p>
              </w:tc>
              <w:tc>
                <w:tcPr>
                  <w:tcW w:w="2196" w:type="dxa"/>
                </w:tcPr>
                <w:p w14:paraId="6CEDAD9E" w14:textId="0877AECB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-1.76 (-1.90, -1.70)</w:t>
                  </w:r>
                </w:p>
              </w:tc>
              <w:tc>
                <w:tcPr>
                  <w:tcW w:w="2196" w:type="dxa"/>
                </w:tcPr>
                <w:p w14:paraId="752A6E8C" w14:textId="1CB8FF15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-2.08 (-2.64, -1.48)</w:t>
                  </w:r>
                </w:p>
              </w:tc>
              <w:tc>
                <w:tcPr>
                  <w:tcW w:w="2196" w:type="dxa"/>
                </w:tcPr>
                <w:p w14:paraId="77DFDD47" w14:textId="2C6A2DC4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-1.54 (-2.03, -1.16)</w:t>
                  </w:r>
                </w:p>
              </w:tc>
            </w:tr>
            <w:tr w:rsidR="00F025E6" w14:paraId="337F844F" w14:textId="77777777" w:rsidTr="00F025E6">
              <w:tc>
                <w:tcPr>
                  <w:tcW w:w="2196" w:type="dxa"/>
                </w:tcPr>
                <w:p w14:paraId="3BF74F3F" w14:textId="7436A7B4" w:rsidR="00F025E6" w:rsidRDefault="00F025E6" w:rsidP="00F025E6">
                  <w:pPr>
                    <w:pStyle w:val="Default"/>
                  </w:pPr>
                  <w:r w:rsidRPr="00995093">
                    <w:rPr>
                      <w:rStyle w:val="A4"/>
                    </w:rPr>
                    <w:t>AX</w:t>
                  </w:r>
                  <w:r>
                    <w:rPr>
                      <w:rStyle w:val="A4"/>
                    </w:rPr>
                    <w:t xml:space="preserve"> (cm H</w:t>
                  </w:r>
                  <w:r w:rsidRPr="004D75B0">
                    <w:rPr>
                      <w:rStyle w:val="A4"/>
                      <w:vertAlign w:val="subscript"/>
                    </w:rPr>
                    <w:t>2</w:t>
                  </w:r>
                  <w:r>
                    <w:rPr>
                      <w:rStyle w:val="A4"/>
                    </w:rPr>
                    <w:t>Os/L)</w:t>
                  </w:r>
                </w:p>
              </w:tc>
              <w:tc>
                <w:tcPr>
                  <w:tcW w:w="2196" w:type="dxa"/>
                </w:tcPr>
                <w:p w14:paraId="19A80525" w14:textId="727954B2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19.</w:t>
                  </w:r>
                  <w:r>
                    <w:rPr>
                      <w:rStyle w:val="A4"/>
                    </w:rPr>
                    <w:t>5</w:t>
                  </w:r>
                  <w:r w:rsidRPr="00995093">
                    <w:rPr>
                      <w:rStyle w:val="A4"/>
                    </w:rPr>
                    <w:t xml:space="preserve"> (16.3, 27.6)</w:t>
                  </w:r>
                </w:p>
              </w:tc>
              <w:tc>
                <w:tcPr>
                  <w:tcW w:w="2196" w:type="dxa"/>
                </w:tcPr>
                <w:p w14:paraId="5DDA2D70" w14:textId="001E906A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36.</w:t>
                  </w:r>
                  <w:r>
                    <w:rPr>
                      <w:rStyle w:val="A4"/>
                    </w:rPr>
                    <w:t>1</w:t>
                  </w:r>
                  <w:r w:rsidRPr="00995093">
                    <w:rPr>
                      <w:rStyle w:val="A4"/>
                    </w:rPr>
                    <w:t xml:space="preserve"> (24.</w:t>
                  </w:r>
                  <w:r>
                    <w:rPr>
                      <w:rStyle w:val="A4"/>
                    </w:rPr>
                    <w:t>1</w:t>
                  </w:r>
                  <w:r w:rsidRPr="00995093">
                    <w:rPr>
                      <w:rStyle w:val="A4"/>
                    </w:rPr>
                    <w:t>, 43.</w:t>
                  </w:r>
                  <w:r>
                    <w:rPr>
                      <w:rStyle w:val="A4"/>
                    </w:rPr>
                    <w:t>2</w:t>
                  </w:r>
                  <w:r w:rsidRPr="00995093">
                    <w:rPr>
                      <w:rStyle w:val="A4"/>
                    </w:rPr>
                    <w:t>)</w:t>
                  </w:r>
                </w:p>
              </w:tc>
              <w:tc>
                <w:tcPr>
                  <w:tcW w:w="2196" w:type="dxa"/>
                </w:tcPr>
                <w:p w14:paraId="160E0917" w14:textId="006A810A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14.5 (12.6, 17.5)</w:t>
                  </w:r>
                </w:p>
              </w:tc>
            </w:tr>
            <w:tr w:rsidR="00F025E6" w14:paraId="765D2462" w14:textId="77777777" w:rsidTr="00F025E6">
              <w:tc>
                <w:tcPr>
                  <w:tcW w:w="2196" w:type="dxa"/>
                </w:tcPr>
                <w:p w14:paraId="3E039315" w14:textId="6FCC97ED" w:rsidR="00F025E6" w:rsidRDefault="00F025E6" w:rsidP="00F025E6">
                  <w:pPr>
                    <w:pStyle w:val="Default"/>
                  </w:pPr>
                  <w:r w:rsidRPr="00995093">
                    <w:rPr>
                      <w:rStyle w:val="A4"/>
                    </w:rPr>
                    <w:t>R5 CoV (%)</w:t>
                  </w:r>
                </w:p>
              </w:tc>
              <w:tc>
                <w:tcPr>
                  <w:tcW w:w="2196" w:type="dxa"/>
                </w:tcPr>
                <w:p w14:paraId="2A2E51F0" w14:textId="33B31E49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10.9 (8.1, 12.6)</w:t>
                  </w:r>
                </w:p>
              </w:tc>
              <w:tc>
                <w:tcPr>
                  <w:tcW w:w="2196" w:type="dxa"/>
                </w:tcPr>
                <w:p w14:paraId="4E0A3EB3" w14:textId="2F96E66F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13.2 (10.4, 13.4)</w:t>
                  </w:r>
                </w:p>
              </w:tc>
              <w:tc>
                <w:tcPr>
                  <w:tcW w:w="2196" w:type="dxa"/>
                </w:tcPr>
                <w:p w14:paraId="7A14430C" w14:textId="10E4FF07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8.4 (7.1, 11.6)</w:t>
                  </w:r>
                </w:p>
              </w:tc>
            </w:tr>
            <w:tr w:rsidR="00F025E6" w14:paraId="2ECCEA45" w14:textId="77777777" w:rsidTr="00F025E6">
              <w:tc>
                <w:tcPr>
                  <w:tcW w:w="2196" w:type="dxa"/>
                </w:tcPr>
                <w:p w14:paraId="6E49BBB6" w14:textId="16ED62E6" w:rsidR="00F025E6" w:rsidRDefault="00F025E6" w:rsidP="00F025E6">
                  <w:pPr>
                    <w:pStyle w:val="Default"/>
                  </w:pPr>
                  <w:r w:rsidRPr="00995093">
                    <w:rPr>
                      <w:rStyle w:val="A4"/>
                    </w:rPr>
                    <w:t>X5 CoV (%)</w:t>
                  </w:r>
                </w:p>
              </w:tc>
              <w:tc>
                <w:tcPr>
                  <w:tcW w:w="2196" w:type="dxa"/>
                </w:tcPr>
                <w:p w14:paraId="1DB3158D" w14:textId="799DA677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25.3 (20.2, 28.1)</w:t>
                  </w:r>
                </w:p>
              </w:tc>
              <w:tc>
                <w:tcPr>
                  <w:tcW w:w="2196" w:type="dxa"/>
                </w:tcPr>
                <w:p w14:paraId="7A4E935E" w14:textId="4B130572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sz w:val="22"/>
                      <w:szCs w:val="22"/>
                    </w:rPr>
                    <w:t>27.4</w:t>
                  </w:r>
                  <w:r>
                    <w:rPr>
                      <w:sz w:val="22"/>
                      <w:szCs w:val="22"/>
                    </w:rPr>
                    <w:t xml:space="preserve"> (23.2, 29.6)</w:t>
                  </w:r>
                </w:p>
              </w:tc>
              <w:tc>
                <w:tcPr>
                  <w:tcW w:w="2196" w:type="dxa"/>
                </w:tcPr>
                <w:p w14:paraId="3378727D" w14:textId="3C187155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17.1 (15.4, 25.5)</w:t>
                  </w:r>
                </w:p>
              </w:tc>
            </w:tr>
            <w:tr w:rsidR="00F025E6" w14:paraId="593DE8E2" w14:textId="77777777" w:rsidTr="00F025E6">
              <w:tc>
                <w:tcPr>
                  <w:tcW w:w="2196" w:type="dxa"/>
                </w:tcPr>
                <w:p w14:paraId="563D1E2B" w14:textId="371C11A0" w:rsidR="00F025E6" w:rsidRPr="00995093" w:rsidRDefault="00F025E6" w:rsidP="00F025E6">
                  <w:pPr>
                    <w:pStyle w:val="Default"/>
                    <w:rPr>
                      <w:rStyle w:val="A4"/>
                    </w:rPr>
                  </w:pPr>
                  <w:r w:rsidRPr="00995093">
                    <w:rPr>
                      <w:rStyle w:val="A4"/>
                    </w:rPr>
                    <w:t>AX CoV (%)</w:t>
                  </w:r>
                </w:p>
              </w:tc>
              <w:tc>
                <w:tcPr>
                  <w:tcW w:w="2196" w:type="dxa"/>
                </w:tcPr>
                <w:p w14:paraId="01BB3117" w14:textId="30081C2B" w:rsidR="00F025E6" w:rsidRDefault="00F025E6" w:rsidP="00F025E6">
                  <w:pPr>
                    <w:pStyle w:val="Default"/>
                    <w:jc w:val="center"/>
                  </w:pPr>
                  <w:r w:rsidRPr="00995093">
                    <w:rPr>
                      <w:rStyle w:val="A4"/>
                    </w:rPr>
                    <w:t>32.9 (32.2, 37.4)</w:t>
                  </w:r>
                </w:p>
              </w:tc>
              <w:tc>
                <w:tcPr>
                  <w:tcW w:w="2196" w:type="dxa"/>
                </w:tcPr>
                <w:p w14:paraId="0556EE31" w14:textId="33C4B577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24.8 (24.2, 31.8)</w:t>
                  </w:r>
                </w:p>
              </w:tc>
              <w:tc>
                <w:tcPr>
                  <w:tcW w:w="2196" w:type="dxa"/>
                </w:tcPr>
                <w:p w14:paraId="72FC6F12" w14:textId="10C09B4B" w:rsidR="00F025E6" w:rsidRDefault="00F025E6" w:rsidP="00F025E6">
                  <w:pPr>
                    <w:pStyle w:val="Default"/>
                    <w:jc w:val="center"/>
                  </w:pPr>
                  <w:r>
                    <w:rPr>
                      <w:rStyle w:val="A4"/>
                    </w:rPr>
                    <w:t>25.5 (22.0, 34.5)</w:t>
                  </w:r>
                </w:p>
              </w:tc>
            </w:tr>
          </w:tbl>
          <w:p w14:paraId="29F10E38" w14:textId="77777777" w:rsidR="00F025E6" w:rsidRPr="00142BA9" w:rsidRDefault="00F025E6" w:rsidP="00142BA9">
            <w:pPr>
              <w:pStyle w:val="Default"/>
            </w:pPr>
          </w:p>
          <w:p w14:paraId="652F7BE1" w14:textId="3F058C8F" w:rsidR="001564A4" w:rsidRPr="00C65341" w:rsidRDefault="001564A4" w:rsidP="008D77E3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BF27E6">
              <w:rPr>
                <w:rStyle w:val="A4"/>
              </w:rPr>
              <w:t>I</w:t>
            </w:r>
            <w:r w:rsidR="007B7ED7">
              <w:rPr>
                <w:rStyle w:val="A4"/>
              </w:rPr>
              <w:t>n-</w:t>
            </w:r>
            <w:r w:rsidR="004572C0">
              <w:rPr>
                <w:rStyle w:val="A4"/>
              </w:rPr>
              <w:t xml:space="preserve">home monitoring using OSC </w:t>
            </w:r>
            <w:r w:rsidR="00BF27E6">
              <w:rPr>
                <w:rStyle w:val="A4"/>
              </w:rPr>
              <w:t>wa</w:t>
            </w:r>
            <w:r w:rsidR="004572C0">
              <w:rPr>
                <w:rStyle w:val="A4"/>
              </w:rPr>
              <w:t xml:space="preserve">s </w:t>
            </w:r>
            <w:r w:rsidR="00FB59B3">
              <w:rPr>
                <w:rStyle w:val="A4"/>
              </w:rPr>
              <w:t xml:space="preserve">feasible </w:t>
            </w:r>
            <w:r w:rsidR="000D337F">
              <w:rPr>
                <w:rStyle w:val="A4"/>
              </w:rPr>
              <w:t>with good adherence over extended periods</w:t>
            </w:r>
            <w:r w:rsidR="00BF27E6">
              <w:rPr>
                <w:rStyle w:val="A4"/>
              </w:rPr>
              <w:t xml:space="preserve"> in CF children aged 6-11 years</w:t>
            </w:r>
            <w:r w:rsidR="000D337F">
              <w:rPr>
                <w:rStyle w:val="A4"/>
              </w:rPr>
              <w:t xml:space="preserve">. </w:t>
            </w:r>
            <w:r w:rsidR="00BF27E6">
              <w:rPr>
                <w:rStyle w:val="A4"/>
              </w:rPr>
              <w:t>Results suggest c</w:t>
            </w:r>
            <w:r w:rsidR="000D337F">
              <w:rPr>
                <w:rStyle w:val="A4"/>
              </w:rPr>
              <w:t>hanges in</w:t>
            </w:r>
            <w:r w:rsidR="00747C4B">
              <w:rPr>
                <w:rStyle w:val="A4"/>
              </w:rPr>
              <w:t xml:space="preserve"> </w:t>
            </w:r>
            <w:r w:rsidR="00BF27E6">
              <w:rPr>
                <w:rStyle w:val="A4"/>
              </w:rPr>
              <w:t xml:space="preserve">conventional OSC variables </w:t>
            </w:r>
            <w:r w:rsidR="00747C4B">
              <w:rPr>
                <w:rStyle w:val="A4"/>
              </w:rPr>
              <w:t>and</w:t>
            </w:r>
            <w:r w:rsidR="000D337F">
              <w:rPr>
                <w:rStyle w:val="A4"/>
              </w:rPr>
              <w:t xml:space="preserve"> day-to-day variability occur</w:t>
            </w:r>
            <w:r w:rsidR="000C2728">
              <w:rPr>
                <w:rStyle w:val="A4"/>
              </w:rPr>
              <w:t xml:space="preserve"> during</w:t>
            </w:r>
            <w:r w:rsidR="00BF27E6">
              <w:rPr>
                <w:rStyle w:val="A4"/>
              </w:rPr>
              <w:t xml:space="preserve"> </w:t>
            </w:r>
            <w:r w:rsidR="000D337F">
              <w:rPr>
                <w:rStyle w:val="A4"/>
              </w:rPr>
              <w:t>exacerbatio</w:t>
            </w:r>
            <w:r w:rsidR="00747C4B">
              <w:rPr>
                <w:rStyle w:val="A4"/>
              </w:rPr>
              <w:t>n</w:t>
            </w:r>
            <w:r w:rsidR="0041313C">
              <w:rPr>
                <w:rStyle w:val="A4"/>
              </w:rPr>
              <w:t xml:space="preserve"> and </w:t>
            </w:r>
            <w:r w:rsidR="00BF27E6">
              <w:rPr>
                <w:rStyle w:val="A4"/>
              </w:rPr>
              <w:t xml:space="preserve">with </w:t>
            </w:r>
            <w:r w:rsidR="00B81517">
              <w:rPr>
                <w:rStyle w:val="A4"/>
              </w:rPr>
              <w:t xml:space="preserve">introduction of </w:t>
            </w:r>
            <w:r w:rsidR="00142BA9">
              <w:rPr>
                <w:rStyle w:val="A4"/>
              </w:rPr>
              <w:t>Trikafta</w:t>
            </w:r>
            <w:r w:rsidR="00BF27E6">
              <w:rPr>
                <w:rStyle w:val="A4"/>
              </w:rPr>
              <w:t>, supporting</w:t>
            </w:r>
            <w:r w:rsidR="000D337F">
              <w:rPr>
                <w:rStyle w:val="A4"/>
              </w:rPr>
              <w:t xml:space="preserve"> </w:t>
            </w:r>
            <w:r w:rsidR="00BF27E6">
              <w:rPr>
                <w:rStyle w:val="A4"/>
              </w:rPr>
              <w:t>f</w:t>
            </w:r>
            <w:r w:rsidR="000D337F">
              <w:rPr>
                <w:rStyle w:val="A4"/>
              </w:rPr>
              <w:t xml:space="preserve">urther studies </w:t>
            </w:r>
            <w:r w:rsidR="00986626">
              <w:rPr>
                <w:rStyle w:val="A4"/>
              </w:rPr>
              <w:t xml:space="preserve">in larger cohorts </w:t>
            </w:r>
            <w:r w:rsidR="000D337F">
              <w:rPr>
                <w:rStyle w:val="A4"/>
              </w:rPr>
              <w:t>to define clinical utility</w:t>
            </w:r>
            <w:r w:rsidR="00BF27E6">
              <w:rPr>
                <w:rStyle w:val="A4"/>
              </w:rPr>
              <w:t xml:space="preserve"> in this setting.</w:t>
            </w:r>
          </w:p>
          <w:p w14:paraId="196E7BAC" w14:textId="791E3D1F" w:rsidR="001564A4" w:rsidRPr="00E41017" w:rsidRDefault="001564A4" w:rsidP="008D77E3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</w:p>
          <w:p w14:paraId="1FF1A88F" w14:textId="21EBA578" w:rsidR="001564A4" w:rsidRPr="00F025E6" w:rsidRDefault="001564A4" w:rsidP="00F025E6">
            <w:pPr>
              <w:pStyle w:val="Pa12"/>
              <w:spacing w:line="240" w:lineRule="auto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424768">
              <w:rPr>
                <w:rStyle w:val="A4"/>
              </w:rPr>
              <w:t>T</w:t>
            </w:r>
            <w:r w:rsidR="00EC175D">
              <w:rPr>
                <w:rStyle w:val="A4"/>
              </w:rPr>
              <w:t>LB</w:t>
            </w:r>
            <w:r w:rsidR="00424768">
              <w:rPr>
                <w:rStyle w:val="A4"/>
              </w:rPr>
              <w:t xml:space="preserve"> is supported by a Children’s Hospital Foundation ECR Fellowshi</w:t>
            </w:r>
            <w:r w:rsidR="00C366E1">
              <w:rPr>
                <w:rStyle w:val="A4"/>
              </w:rPr>
              <w:t>p.</w:t>
            </w:r>
            <w:r w:rsidR="00BF27E6">
              <w:rPr>
                <w:rStyle w:val="A4"/>
              </w:rPr>
              <w:t xml:space="preserve"> Thorasys Ltd supplied oscillometry devices for use in this study</w:t>
            </w:r>
            <w:r w:rsidR="00CC1509">
              <w:rPr>
                <w:rStyle w:val="A4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8D77E3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8D77E3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D3611CC" w14:textId="77777777" w:rsidR="00923606" w:rsidRDefault="00923606" w:rsidP="00F025E6">
      <w:pPr>
        <w:tabs>
          <w:tab w:val="left" w:pos="964"/>
        </w:tabs>
      </w:pPr>
    </w:p>
    <w:sectPr w:rsidR="00923606" w:rsidSect="00C36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3A0"/>
    <w:rsid w:val="00033906"/>
    <w:rsid w:val="000347C7"/>
    <w:rsid w:val="00051156"/>
    <w:rsid w:val="00060D8E"/>
    <w:rsid w:val="00061EF9"/>
    <w:rsid w:val="00071008"/>
    <w:rsid w:val="0007530C"/>
    <w:rsid w:val="000757B9"/>
    <w:rsid w:val="00077CE8"/>
    <w:rsid w:val="00085F4C"/>
    <w:rsid w:val="000A719F"/>
    <w:rsid w:val="000B2C0A"/>
    <w:rsid w:val="000B4A60"/>
    <w:rsid w:val="000C2728"/>
    <w:rsid w:val="000D337F"/>
    <w:rsid w:val="000E3F65"/>
    <w:rsid w:val="000E4499"/>
    <w:rsid w:val="000F7576"/>
    <w:rsid w:val="000F7589"/>
    <w:rsid w:val="0010026C"/>
    <w:rsid w:val="00114441"/>
    <w:rsid w:val="00122008"/>
    <w:rsid w:val="001236A9"/>
    <w:rsid w:val="00126B71"/>
    <w:rsid w:val="00136D67"/>
    <w:rsid w:val="00142BA9"/>
    <w:rsid w:val="0014423C"/>
    <w:rsid w:val="00144C62"/>
    <w:rsid w:val="001457F8"/>
    <w:rsid w:val="001564A4"/>
    <w:rsid w:val="001608DA"/>
    <w:rsid w:val="0017529E"/>
    <w:rsid w:val="00180E5F"/>
    <w:rsid w:val="00193670"/>
    <w:rsid w:val="00194AD8"/>
    <w:rsid w:val="001A3435"/>
    <w:rsid w:val="001B28FF"/>
    <w:rsid w:val="001B4AA7"/>
    <w:rsid w:val="001B6C29"/>
    <w:rsid w:val="001D104F"/>
    <w:rsid w:val="001D14E1"/>
    <w:rsid w:val="001D4FC6"/>
    <w:rsid w:val="001E5552"/>
    <w:rsid w:val="001E704A"/>
    <w:rsid w:val="002029D2"/>
    <w:rsid w:val="00203424"/>
    <w:rsid w:val="00216208"/>
    <w:rsid w:val="00217044"/>
    <w:rsid w:val="00221AD8"/>
    <w:rsid w:val="0023044F"/>
    <w:rsid w:val="00230766"/>
    <w:rsid w:val="00240E89"/>
    <w:rsid w:val="00241F4D"/>
    <w:rsid w:val="002439A2"/>
    <w:rsid w:val="002508B4"/>
    <w:rsid w:val="00251DEA"/>
    <w:rsid w:val="00293989"/>
    <w:rsid w:val="002C5B47"/>
    <w:rsid w:val="002D3F44"/>
    <w:rsid w:val="002D5A57"/>
    <w:rsid w:val="002E1E33"/>
    <w:rsid w:val="002E5BE6"/>
    <w:rsid w:val="002F11B0"/>
    <w:rsid w:val="00322FDC"/>
    <w:rsid w:val="00346CD5"/>
    <w:rsid w:val="00354B4F"/>
    <w:rsid w:val="003628D2"/>
    <w:rsid w:val="00372234"/>
    <w:rsid w:val="0037240B"/>
    <w:rsid w:val="0037723B"/>
    <w:rsid w:val="003970E3"/>
    <w:rsid w:val="003A295E"/>
    <w:rsid w:val="003B756A"/>
    <w:rsid w:val="003E662E"/>
    <w:rsid w:val="003E6F30"/>
    <w:rsid w:val="003F11D1"/>
    <w:rsid w:val="003F1E5B"/>
    <w:rsid w:val="003F2F52"/>
    <w:rsid w:val="003F73CE"/>
    <w:rsid w:val="0041313C"/>
    <w:rsid w:val="00417323"/>
    <w:rsid w:val="004221F9"/>
    <w:rsid w:val="00424768"/>
    <w:rsid w:val="00432FF4"/>
    <w:rsid w:val="0044065B"/>
    <w:rsid w:val="00440BD0"/>
    <w:rsid w:val="004572C0"/>
    <w:rsid w:val="004829FA"/>
    <w:rsid w:val="0049659A"/>
    <w:rsid w:val="004A355D"/>
    <w:rsid w:val="004D1323"/>
    <w:rsid w:val="004D4B41"/>
    <w:rsid w:val="004D75B0"/>
    <w:rsid w:val="004F0C9C"/>
    <w:rsid w:val="004F13A3"/>
    <w:rsid w:val="004F2555"/>
    <w:rsid w:val="0051574E"/>
    <w:rsid w:val="005176FC"/>
    <w:rsid w:val="005226C4"/>
    <w:rsid w:val="00537931"/>
    <w:rsid w:val="00540911"/>
    <w:rsid w:val="005436B3"/>
    <w:rsid w:val="00552549"/>
    <w:rsid w:val="00556397"/>
    <w:rsid w:val="00566E3D"/>
    <w:rsid w:val="00567DF7"/>
    <w:rsid w:val="00576CB7"/>
    <w:rsid w:val="005771FA"/>
    <w:rsid w:val="00577EF2"/>
    <w:rsid w:val="00581582"/>
    <w:rsid w:val="00584C39"/>
    <w:rsid w:val="00594135"/>
    <w:rsid w:val="00596B02"/>
    <w:rsid w:val="005A78D9"/>
    <w:rsid w:val="005C4C87"/>
    <w:rsid w:val="005D4AE1"/>
    <w:rsid w:val="005E0578"/>
    <w:rsid w:val="005F5B57"/>
    <w:rsid w:val="00600A80"/>
    <w:rsid w:val="00604DC3"/>
    <w:rsid w:val="00606E22"/>
    <w:rsid w:val="00613CA1"/>
    <w:rsid w:val="00615D11"/>
    <w:rsid w:val="00616161"/>
    <w:rsid w:val="00616A3A"/>
    <w:rsid w:val="0062044E"/>
    <w:rsid w:val="00630938"/>
    <w:rsid w:val="00635A24"/>
    <w:rsid w:val="0064265D"/>
    <w:rsid w:val="006451C5"/>
    <w:rsid w:val="006477C2"/>
    <w:rsid w:val="006639C3"/>
    <w:rsid w:val="00674013"/>
    <w:rsid w:val="00676630"/>
    <w:rsid w:val="00690B99"/>
    <w:rsid w:val="00692310"/>
    <w:rsid w:val="006B7D50"/>
    <w:rsid w:val="006D1B8F"/>
    <w:rsid w:val="006D4A76"/>
    <w:rsid w:val="006F63AB"/>
    <w:rsid w:val="007064D0"/>
    <w:rsid w:val="007065C5"/>
    <w:rsid w:val="00710250"/>
    <w:rsid w:val="007114B8"/>
    <w:rsid w:val="00714AA4"/>
    <w:rsid w:val="0071749E"/>
    <w:rsid w:val="0072014F"/>
    <w:rsid w:val="00720CE6"/>
    <w:rsid w:val="0073490C"/>
    <w:rsid w:val="00737049"/>
    <w:rsid w:val="00747C4B"/>
    <w:rsid w:val="00752CEE"/>
    <w:rsid w:val="00766AFF"/>
    <w:rsid w:val="00773B24"/>
    <w:rsid w:val="00793268"/>
    <w:rsid w:val="007954FF"/>
    <w:rsid w:val="007A617A"/>
    <w:rsid w:val="007B0A7E"/>
    <w:rsid w:val="007B0E16"/>
    <w:rsid w:val="007B7ED7"/>
    <w:rsid w:val="007C2374"/>
    <w:rsid w:val="007C3F0C"/>
    <w:rsid w:val="007C4D06"/>
    <w:rsid w:val="007C7DF0"/>
    <w:rsid w:val="007D2C71"/>
    <w:rsid w:val="007F1CD6"/>
    <w:rsid w:val="008131ED"/>
    <w:rsid w:val="00813798"/>
    <w:rsid w:val="008335C9"/>
    <w:rsid w:val="00837E74"/>
    <w:rsid w:val="00841508"/>
    <w:rsid w:val="00842343"/>
    <w:rsid w:val="00842B3E"/>
    <w:rsid w:val="00844348"/>
    <w:rsid w:val="00862AC8"/>
    <w:rsid w:val="008668F1"/>
    <w:rsid w:val="00870FB8"/>
    <w:rsid w:val="00871B80"/>
    <w:rsid w:val="008803FA"/>
    <w:rsid w:val="00884BCA"/>
    <w:rsid w:val="00884F30"/>
    <w:rsid w:val="00885058"/>
    <w:rsid w:val="008871E6"/>
    <w:rsid w:val="008A75EC"/>
    <w:rsid w:val="008C1213"/>
    <w:rsid w:val="008D77E3"/>
    <w:rsid w:val="008E554E"/>
    <w:rsid w:val="008E682F"/>
    <w:rsid w:val="008F184F"/>
    <w:rsid w:val="008F4910"/>
    <w:rsid w:val="008F5D9A"/>
    <w:rsid w:val="00913384"/>
    <w:rsid w:val="00923606"/>
    <w:rsid w:val="009257E6"/>
    <w:rsid w:val="0092639F"/>
    <w:rsid w:val="00933ECD"/>
    <w:rsid w:val="009440BE"/>
    <w:rsid w:val="00955A8B"/>
    <w:rsid w:val="00986626"/>
    <w:rsid w:val="009877D5"/>
    <w:rsid w:val="00995093"/>
    <w:rsid w:val="00995647"/>
    <w:rsid w:val="009A4EB1"/>
    <w:rsid w:val="009B45C4"/>
    <w:rsid w:val="009C363F"/>
    <w:rsid w:val="009C522A"/>
    <w:rsid w:val="009D27D8"/>
    <w:rsid w:val="009E51F1"/>
    <w:rsid w:val="009E6B54"/>
    <w:rsid w:val="009F23D7"/>
    <w:rsid w:val="009F39CE"/>
    <w:rsid w:val="009F7470"/>
    <w:rsid w:val="00A1242B"/>
    <w:rsid w:val="00A23A3B"/>
    <w:rsid w:val="00A33CAD"/>
    <w:rsid w:val="00A40759"/>
    <w:rsid w:val="00A447EB"/>
    <w:rsid w:val="00A65316"/>
    <w:rsid w:val="00A66F5F"/>
    <w:rsid w:val="00A708CD"/>
    <w:rsid w:val="00A8522C"/>
    <w:rsid w:val="00A8752F"/>
    <w:rsid w:val="00A94CB3"/>
    <w:rsid w:val="00AA22D5"/>
    <w:rsid w:val="00AA2414"/>
    <w:rsid w:val="00AA2CC8"/>
    <w:rsid w:val="00AB18E4"/>
    <w:rsid w:val="00AB5DC9"/>
    <w:rsid w:val="00AB6947"/>
    <w:rsid w:val="00AC2666"/>
    <w:rsid w:val="00AE5704"/>
    <w:rsid w:val="00AE7928"/>
    <w:rsid w:val="00AF527B"/>
    <w:rsid w:val="00AF5853"/>
    <w:rsid w:val="00B11614"/>
    <w:rsid w:val="00B12E32"/>
    <w:rsid w:val="00B134F9"/>
    <w:rsid w:val="00B24E49"/>
    <w:rsid w:val="00B42340"/>
    <w:rsid w:val="00B42C63"/>
    <w:rsid w:val="00B81517"/>
    <w:rsid w:val="00B8228B"/>
    <w:rsid w:val="00B838CF"/>
    <w:rsid w:val="00B8607E"/>
    <w:rsid w:val="00B9589C"/>
    <w:rsid w:val="00BA1EE5"/>
    <w:rsid w:val="00BB3FFD"/>
    <w:rsid w:val="00BC1079"/>
    <w:rsid w:val="00BD4250"/>
    <w:rsid w:val="00BD6438"/>
    <w:rsid w:val="00BE0B3B"/>
    <w:rsid w:val="00BF27E6"/>
    <w:rsid w:val="00BF75A1"/>
    <w:rsid w:val="00C04B65"/>
    <w:rsid w:val="00C100D9"/>
    <w:rsid w:val="00C10A82"/>
    <w:rsid w:val="00C1756A"/>
    <w:rsid w:val="00C201AB"/>
    <w:rsid w:val="00C2107C"/>
    <w:rsid w:val="00C366E1"/>
    <w:rsid w:val="00C52E8A"/>
    <w:rsid w:val="00C65341"/>
    <w:rsid w:val="00C71540"/>
    <w:rsid w:val="00C739E3"/>
    <w:rsid w:val="00C81867"/>
    <w:rsid w:val="00C8234D"/>
    <w:rsid w:val="00C90C13"/>
    <w:rsid w:val="00CA6B06"/>
    <w:rsid w:val="00CB3348"/>
    <w:rsid w:val="00CC1509"/>
    <w:rsid w:val="00CE1C10"/>
    <w:rsid w:val="00CE3108"/>
    <w:rsid w:val="00CE6133"/>
    <w:rsid w:val="00CF2D13"/>
    <w:rsid w:val="00CF659E"/>
    <w:rsid w:val="00D21605"/>
    <w:rsid w:val="00D260C6"/>
    <w:rsid w:val="00D35F47"/>
    <w:rsid w:val="00D373B1"/>
    <w:rsid w:val="00D4286E"/>
    <w:rsid w:val="00D538EB"/>
    <w:rsid w:val="00D545F6"/>
    <w:rsid w:val="00D70E81"/>
    <w:rsid w:val="00D74A9F"/>
    <w:rsid w:val="00D90A95"/>
    <w:rsid w:val="00D95047"/>
    <w:rsid w:val="00D95F80"/>
    <w:rsid w:val="00DA0360"/>
    <w:rsid w:val="00DC3A4B"/>
    <w:rsid w:val="00DD7122"/>
    <w:rsid w:val="00DE13E9"/>
    <w:rsid w:val="00DE5BB3"/>
    <w:rsid w:val="00DF1489"/>
    <w:rsid w:val="00DF388C"/>
    <w:rsid w:val="00E0700F"/>
    <w:rsid w:val="00E117A0"/>
    <w:rsid w:val="00E272AC"/>
    <w:rsid w:val="00E41017"/>
    <w:rsid w:val="00E4286E"/>
    <w:rsid w:val="00E44F0A"/>
    <w:rsid w:val="00E53E78"/>
    <w:rsid w:val="00E875E9"/>
    <w:rsid w:val="00EA6977"/>
    <w:rsid w:val="00EB757E"/>
    <w:rsid w:val="00EC175D"/>
    <w:rsid w:val="00EC4A02"/>
    <w:rsid w:val="00ED32F3"/>
    <w:rsid w:val="00ED4316"/>
    <w:rsid w:val="00EF7B93"/>
    <w:rsid w:val="00F025E6"/>
    <w:rsid w:val="00F21148"/>
    <w:rsid w:val="00F22540"/>
    <w:rsid w:val="00F257BA"/>
    <w:rsid w:val="00F257EC"/>
    <w:rsid w:val="00F65E7C"/>
    <w:rsid w:val="00F67333"/>
    <w:rsid w:val="00F93886"/>
    <w:rsid w:val="00FA56F8"/>
    <w:rsid w:val="00FB5396"/>
    <w:rsid w:val="00FB59B3"/>
    <w:rsid w:val="00FC6AB3"/>
    <w:rsid w:val="00FD47D2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D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7D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7D2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DA036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7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DD88B-126D-44E7-8FD6-2F93726B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Tamara Blake</cp:lastModifiedBy>
  <cp:revision>5</cp:revision>
  <dcterms:created xsi:type="dcterms:W3CDTF">2023-10-18T23:44:00Z</dcterms:created>
  <dcterms:modified xsi:type="dcterms:W3CDTF">2023-10-19T01:19:00Z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2023-09-20T07:13:08Z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48e8d209-aaf1-4222-8843-38bdf6c25edd</vt:lpwstr>
  </property>
  <property fmtid="{D5CDD505-2E9C-101B-9397-08002B2CF9AE}" pid="10" name="MSIP_Label_0f488380-630a-4f55-a077-a19445e3f360_ContentBits">
    <vt:lpwstr>0</vt:lpwstr>
  </property>
</Properties>
</file>