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DAD6" w14:textId="77777777" w:rsidR="002D1AC0" w:rsidRPr="00C8641A" w:rsidRDefault="002D1AC0" w:rsidP="00C8641A">
      <w:pPr>
        <w:spacing w:line="360" w:lineRule="auto"/>
        <w:rPr>
          <w:rFonts w:ascii="Arial" w:hAnsi="Arial" w:cs="Arial"/>
          <w:lang w:val="en-GB"/>
        </w:rPr>
      </w:pPr>
    </w:p>
    <w:p w14:paraId="6BD49B00" w14:textId="732679B7" w:rsidR="004B106F" w:rsidRPr="008E7CE0" w:rsidRDefault="004B106F" w:rsidP="008E7CE0">
      <w:pPr>
        <w:jc w:val="both"/>
        <w:rPr>
          <w:rFonts w:ascii="Arial" w:hAnsi="Arial" w:cs="Arial"/>
          <w:b/>
          <w:bCs/>
          <w:lang w:val="en-US"/>
        </w:rPr>
      </w:pPr>
      <w:r w:rsidRPr="008E7CE0">
        <w:rPr>
          <w:rFonts w:ascii="Arial" w:hAnsi="Arial" w:cs="Arial"/>
          <w:b/>
          <w:bCs/>
          <w:lang w:val="en-US"/>
        </w:rPr>
        <w:t>Clinical Practice Guide for Integrating Diabetes-Specific Nutritional Formulas into Diabetes Care: Evidence Review and Expert Consensus</w:t>
      </w:r>
    </w:p>
    <w:p w14:paraId="79776B6F" w14:textId="77777777" w:rsidR="002D1AC0" w:rsidRPr="00C8641A" w:rsidRDefault="002D1AC0" w:rsidP="008E7CE0">
      <w:pPr>
        <w:jc w:val="both"/>
        <w:rPr>
          <w:rFonts w:ascii="Arial" w:hAnsi="Arial" w:cs="Arial"/>
          <w:b/>
          <w:bCs/>
          <w:lang w:val="en-GB"/>
        </w:rPr>
      </w:pPr>
    </w:p>
    <w:p w14:paraId="39D25CDC" w14:textId="091E0C4E" w:rsidR="002D1AC0" w:rsidRPr="00C8641A" w:rsidRDefault="002D1AC0" w:rsidP="008E7CE0">
      <w:pPr>
        <w:jc w:val="both"/>
        <w:rPr>
          <w:rFonts w:ascii="Arial" w:hAnsi="Arial" w:cs="Arial"/>
          <w:lang w:val="en-GB"/>
        </w:rPr>
      </w:pPr>
      <w:r w:rsidRPr="00C8641A">
        <w:rPr>
          <w:rFonts w:ascii="Arial" w:hAnsi="Arial" w:cs="Arial"/>
          <w:b/>
          <w:bCs/>
          <w:lang w:val="en-GB"/>
        </w:rPr>
        <w:t>Background &amp; Aim:</w:t>
      </w:r>
      <w:r w:rsidRPr="00C8641A">
        <w:rPr>
          <w:rFonts w:ascii="Arial" w:hAnsi="Arial" w:cs="Arial"/>
          <w:lang w:val="en-GB"/>
        </w:rPr>
        <w:t xml:space="preserve"> </w:t>
      </w:r>
    </w:p>
    <w:p w14:paraId="39D823BA" w14:textId="2D06904F" w:rsidR="00C8641A" w:rsidRPr="00C8641A" w:rsidRDefault="00C8641A" w:rsidP="008E7CE0">
      <w:pPr>
        <w:jc w:val="both"/>
        <w:rPr>
          <w:rFonts w:ascii="Arial" w:hAnsi="Arial" w:cs="Arial"/>
          <w:lang w:val="en-US"/>
        </w:rPr>
      </w:pPr>
      <w:r w:rsidRPr="00C8641A">
        <w:rPr>
          <w:rFonts w:ascii="Arial" w:hAnsi="Arial" w:cs="Arial"/>
          <w:lang w:val="en-US"/>
        </w:rPr>
        <w:t xml:space="preserve">Achieving optimal </w:t>
      </w:r>
      <w:proofErr w:type="spellStart"/>
      <w:r w:rsidRPr="00C8641A">
        <w:rPr>
          <w:rFonts w:ascii="Arial" w:hAnsi="Arial" w:cs="Arial"/>
          <w:lang w:val="en-US"/>
        </w:rPr>
        <w:t>glycaemic</w:t>
      </w:r>
      <w:proofErr w:type="spellEnd"/>
      <w:r w:rsidRPr="00C8641A">
        <w:rPr>
          <w:rFonts w:ascii="Arial" w:hAnsi="Arial" w:cs="Arial"/>
          <w:lang w:val="en-US"/>
        </w:rPr>
        <w:t xml:space="preserve"> management through wholefood dietary approaches remains challenging for many people with type 2 diabetes (T2D), due to barriers including limited time, food literacy, access, and medication-related factors. Diabetes-Specific Nutritional Formulas (DSNFs) have demonstrated efficacy in improving </w:t>
      </w:r>
      <w:proofErr w:type="spellStart"/>
      <w:r w:rsidRPr="00C8641A">
        <w:rPr>
          <w:rFonts w:ascii="Arial" w:hAnsi="Arial" w:cs="Arial"/>
          <w:lang w:val="en-US"/>
        </w:rPr>
        <w:t>glycaemic</w:t>
      </w:r>
      <w:proofErr w:type="spellEnd"/>
      <w:r w:rsidRPr="00C8641A">
        <w:rPr>
          <w:rFonts w:ascii="Arial" w:hAnsi="Arial" w:cs="Arial"/>
          <w:lang w:val="en-US"/>
        </w:rPr>
        <w:t xml:space="preserve"> and metabolic outcomes; however, practical, evidence-based guidance </w:t>
      </w:r>
      <w:r w:rsidR="00027D07">
        <w:rPr>
          <w:rFonts w:ascii="Arial" w:hAnsi="Arial" w:cs="Arial"/>
          <w:lang w:val="en-US"/>
        </w:rPr>
        <w:t>for</w:t>
      </w:r>
      <w:r w:rsidRPr="00C8641A">
        <w:rPr>
          <w:rFonts w:ascii="Arial" w:hAnsi="Arial" w:cs="Arial"/>
          <w:lang w:val="en-US"/>
        </w:rPr>
        <w:t xml:space="preserve"> their integration into routine care is </w:t>
      </w:r>
      <w:r w:rsidR="00027D07">
        <w:rPr>
          <w:rFonts w:ascii="Arial" w:hAnsi="Arial" w:cs="Arial"/>
          <w:lang w:val="en-US"/>
        </w:rPr>
        <w:t>limited</w:t>
      </w:r>
      <w:r w:rsidRPr="00C8641A">
        <w:rPr>
          <w:rFonts w:ascii="Arial" w:hAnsi="Arial" w:cs="Arial"/>
          <w:lang w:val="en-US"/>
        </w:rPr>
        <w:t>. This project aimed to develop a clinically relevant Clinical Practice Guide (CPG) to support the structured and person-</w:t>
      </w:r>
      <w:proofErr w:type="spellStart"/>
      <w:r w:rsidRPr="00C8641A">
        <w:rPr>
          <w:rFonts w:ascii="Arial" w:hAnsi="Arial" w:cs="Arial"/>
          <w:lang w:val="en-US"/>
        </w:rPr>
        <w:t>centred</w:t>
      </w:r>
      <w:proofErr w:type="spellEnd"/>
      <w:r w:rsidRPr="00C8641A">
        <w:rPr>
          <w:rFonts w:ascii="Arial" w:hAnsi="Arial" w:cs="Arial"/>
          <w:lang w:val="en-US"/>
        </w:rPr>
        <w:t xml:space="preserve"> use of DSNFs in diabetes management.</w:t>
      </w:r>
      <w:r>
        <w:rPr>
          <w:rFonts w:ascii="Arial" w:hAnsi="Arial" w:cs="Arial"/>
          <w:lang w:val="en-US"/>
        </w:rPr>
        <w:t xml:space="preserve"> </w:t>
      </w:r>
      <w:r w:rsidRPr="00C8641A">
        <w:rPr>
          <w:rFonts w:ascii="Arial" w:hAnsi="Arial" w:cs="Arial"/>
          <w:lang w:val="en-US"/>
        </w:rPr>
        <w:t>This work builds on the Australian consensus statement on DSNFs by translating evidence into practical guidance for implementation</w:t>
      </w:r>
    </w:p>
    <w:p w14:paraId="6CCE9886" w14:textId="77777777" w:rsidR="00C8641A" w:rsidRPr="00C8641A" w:rsidRDefault="00C8641A" w:rsidP="008E7CE0">
      <w:pPr>
        <w:jc w:val="both"/>
        <w:rPr>
          <w:rFonts w:ascii="Arial" w:hAnsi="Arial" w:cs="Arial"/>
          <w:b/>
          <w:bCs/>
          <w:lang w:val="en-GB"/>
        </w:rPr>
      </w:pPr>
    </w:p>
    <w:p w14:paraId="061ABEE6" w14:textId="667A9E76" w:rsidR="002D1AC0" w:rsidRPr="00C8641A" w:rsidRDefault="002D1AC0" w:rsidP="008E7CE0">
      <w:pPr>
        <w:jc w:val="both"/>
        <w:rPr>
          <w:rFonts w:ascii="Arial" w:hAnsi="Arial" w:cs="Arial"/>
          <w:lang w:val="en-GB"/>
        </w:rPr>
      </w:pPr>
      <w:r w:rsidRPr="00C8641A">
        <w:rPr>
          <w:rFonts w:ascii="Arial" w:hAnsi="Arial" w:cs="Arial"/>
          <w:b/>
          <w:bCs/>
          <w:lang w:val="en-GB"/>
        </w:rPr>
        <w:t>Methods:</w:t>
      </w:r>
      <w:r w:rsidRPr="00C8641A">
        <w:rPr>
          <w:rFonts w:ascii="Arial" w:hAnsi="Arial" w:cs="Arial"/>
          <w:lang w:val="en-GB"/>
        </w:rPr>
        <w:t xml:space="preserve"> </w:t>
      </w:r>
    </w:p>
    <w:p w14:paraId="0F73FB09" w14:textId="0C54CC2D" w:rsidR="00C8641A" w:rsidRPr="00C8641A" w:rsidRDefault="00C8641A" w:rsidP="008E7CE0">
      <w:pPr>
        <w:jc w:val="both"/>
        <w:rPr>
          <w:rFonts w:ascii="Arial" w:hAnsi="Arial" w:cs="Arial"/>
          <w:lang w:val="en-US"/>
        </w:rPr>
      </w:pPr>
      <w:r w:rsidRPr="00C8641A">
        <w:rPr>
          <w:rFonts w:ascii="Arial" w:hAnsi="Arial" w:cs="Arial"/>
          <w:lang w:val="en-US"/>
        </w:rPr>
        <w:t xml:space="preserve">A multidisciplinary expert working group, including representatives from the Australian Diabetes Society, Australian Diabetes Educators Association, and Royal Australian College of General Practitioners, developed the CPG through a structured literature review and iterative consensus process. Evidence was critically appraised and </w:t>
      </w:r>
      <w:proofErr w:type="spellStart"/>
      <w:r w:rsidR="00027D07">
        <w:rPr>
          <w:rFonts w:ascii="Arial" w:hAnsi="Arial" w:cs="Arial"/>
          <w:lang w:val="en-US"/>
        </w:rPr>
        <w:t>synthesised</w:t>
      </w:r>
      <w:proofErr w:type="spellEnd"/>
      <w:r w:rsidRPr="00C8641A">
        <w:rPr>
          <w:rFonts w:ascii="Arial" w:hAnsi="Arial" w:cs="Arial"/>
          <w:lang w:val="en-US"/>
        </w:rPr>
        <w:t xml:space="preserve"> into practical recommendations, with emphasis on clinical applicability and implementation across diverse care settings.</w:t>
      </w:r>
    </w:p>
    <w:p w14:paraId="41F64263" w14:textId="77777777" w:rsidR="00C8641A" w:rsidRPr="00C8641A" w:rsidRDefault="00C8641A" w:rsidP="008E7CE0">
      <w:pPr>
        <w:jc w:val="both"/>
        <w:rPr>
          <w:rFonts w:ascii="Arial" w:hAnsi="Arial" w:cs="Arial"/>
          <w:b/>
          <w:bCs/>
          <w:lang w:val="en-GB"/>
        </w:rPr>
      </w:pPr>
    </w:p>
    <w:p w14:paraId="0DCB4931" w14:textId="0A1BC5A9" w:rsidR="002D1AC0" w:rsidRPr="00C8641A" w:rsidRDefault="002D1AC0" w:rsidP="008E7CE0">
      <w:pPr>
        <w:jc w:val="both"/>
        <w:rPr>
          <w:rFonts w:ascii="Arial" w:hAnsi="Arial" w:cs="Arial"/>
          <w:lang w:val="en-GB"/>
        </w:rPr>
      </w:pPr>
      <w:r w:rsidRPr="00C8641A">
        <w:rPr>
          <w:rFonts w:ascii="Arial" w:hAnsi="Arial" w:cs="Arial"/>
          <w:b/>
          <w:bCs/>
          <w:lang w:val="en-GB"/>
        </w:rPr>
        <w:t>Results:</w:t>
      </w:r>
      <w:r w:rsidRPr="00C8641A">
        <w:rPr>
          <w:rFonts w:ascii="Arial" w:hAnsi="Arial" w:cs="Arial"/>
          <w:lang w:val="en-GB"/>
        </w:rPr>
        <w:t xml:space="preserve"> </w:t>
      </w:r>
    </w:p>
    <w:p w14:paraId="333523D0" w14:textId="42EDD503" w:rsidR="00C8641A" w:rsidRPr="00C8641A" w:rsidRDefault="00C8641A" w:rsidP="008E7CE0">
      <w:pPr>
        <w:jc w:val="both"/>
        <w:rPr>
          <w:rFonts w:ascii="Arial" w:hAnsi="Arial" w:cs="Arial"/>
          <w:lang w:val="en-US"/>
        </w:rPr>
      </w:pPr>
      <w:r w:rsidRPr="00C8641A">
        <w:rPr>
          <w:rFonts w:ascii="Arial" w:hAnsi="Arial" w:cs="Arial"/>
          <w:lang w:val="en-US"/>
        </w:rPr>
        <w:t xml:space="preserve">The CPG outlines a pragmatic three-step clinical pathway: (1) </w:t>
      </w:r>
      <w:r w:rsidRPr="00C8641A">
        <w:rPr>
          <w:rFonts w:ascii="Arial" w:hAnsi="Arial" w:cs="Arial"/>
          <w:i/>
          <w:iCs/>
          <w:lang w:val="en-US"/>
        </w:rPr>
        <w:t>Assess suitability</w:t>
      </w:r>
      <w:r w:rsidRPr="00C8641A">
        <w:rPr>
          <w:rFonts w:ascii="Arial" w:hAnsi="Arial" w:cs="Arial"/>
          <w:lang w:val="en-US"/>
        </w:rPr>
        <w:t xml:space="preserve"> (clinical indications, contraindications, individual preferences); (2) </w:t>
      </w:r>
      <w:r w:rsidRPr="00C8641A">
        <w:rPr>
          <w:rFonts w:ascii="Arial" w:hAnsi="Arial" w:cs="Arial"/>
          <w:i/>
          <w:iCs/>
          <w:lang w:val="en-US"/>
        </w:rPr>
        <w:t>Tailor the Approach</w:t>
      </w:r>
      <w:r w:rsidRPr="00C8641A">
        <w:rPr>
          <w:rFonts w:ascii="Arial" w:hAnsi="Arial" w:cs="Arial"/>
          <w:lang w:val="en-US"/>
        </w:rPr>
        <w:t xml:space="preserve"> (dose, timing, alignment with </w:t>
      </w:r>
      <w:proofErr w:type="spellStart"/>
      <w:r w:rsidRPr="00C8641A">
        <w:rPr>
          <w:rFonts w:ascii="Arial" w:hAnsi="Arial" w:cs="Arial"/>
          <w:lang w:val="en-US"/>
        </w:rPr>
        <w:t>glycaemic</w:t>
      </w:r>
      <w:proofErr w:type="spellEnd"/>
      <w:r w:rsidRPr="00C8641A">
        <w:rPr>
          <w:rFonts w:ascii="Arial" w:hAnsi="Arial" w:cs="Arial"/>
          <w:lang w:val="en-US"/>
        </w:rPr>
        <w:t xml:space="preserve"> patterns, weight goals, and lifestyle care); and (3) </w:t>
      </w:r>
      <w:r w:rsidRPr="00C8641A">
        <w:rPr>
          <w:rFonts w:ascii="Arial" w:hAnsi="Arial" w:cs="Arial"/>
          <w:i/>
          <w:iCs/>
          <w:lang w:val="en-US"/>
        </w:rPr>
        <w:t>Monitor Progress</w:t>
      </w:r>
      <w:r w:rsidRPr="00C8641A">
        <w:rPr>
          <w:rFonts w:ascii="Arial" w:hAnsi="Arial" w:cs="Arial"/>
          <w:lang w:val="en-US"/>
        </w:rPr>
        <w:t xml:space="preserve">, including early review (2–4 weeks) and ongoing assessment of </w:t>
      </w:r>
      <w:proofErr w:type="spellStart"/>
      <w:r w:rsidRPr="00C8641A">
        <w:rPr>
          <w:rFonts w:ascii="Arial" w:hAnsi="Arial" w:cs="Arial"/>
          <w:lang w:val="en-US"/>
        </w:rPr>
        <w:t>glycaemic</w:t>
      </w:r>
      <w:proofErr w:type="spellEnd"/>
      <w:r w:rsidRPr="00C8641A">
        <w:rPr>
          <w:rFonts w:ascii="Arial" w:hAnsi="Arial" w:cs="Arial"/>
          <w:lang w:val="en-US"/>
        </w:rPr>
        <w:t xml:space="preserve"> outcomes, weight or body composition, and medication use.</w:t>
      </w:r>
    </w:p>
    <w:p w14:paraId="78A8E8CA" w14:textId="77777777" w:rsidR="00C8641A" w:rsidRPr="00C8641A" w:rsidRDefault="00C8641A" w:rsidP="008E7CE0">
      <w:pPr>
        <w:jc w:val="both"/>
        <w:rPr>
          <w:rFonts w:ascii="Arial" w:hAnsi="Arial" w:cs="Arial"/>
          <w:b/>
          <w:bCs/>
          <w:lang w:val="en-GB"/>
        </w:rPr>
      </w:pPr>
    </w:p>
    <w:p w14:paraId="1AFC1D5B" w14:textId="6864A8B4" w:rsidR="002D1AC0" w:rsidRPr="00C8641A" w:rsidRDefault="002D1AC0" w:rsidP="008E7CE0">
      <w:pPr>
        <w:jc w:val="both"/>
        <w:rPr>
          <w:rFonts w:ascii="Arial" w:hAnsi="Arial" w:cs="Arial"/>
          <w:lang w:val="en-GB"/>
        </w:rPr>
      </w:pPr>
      <w:r w:rsidRPr="00C8641A">
        <w:rPr>
          <w:rFonts w:ascii="Arial" w:hAnsi="Arial" w:cs="Arial"/>
          <w:b/>
          <w:bCs/>
          <w:lang w:val="en-GB"/>
        </w:rPr>
        <w:t>Discussion / Conclusion:</w:t>
      </w:r>
      <w:r w:rsidRPr="00C8641A">
        <w:rPr>
          <w:rFonts w:ascii="Arial" w:hAnsi="Arial" w:cs="Arial"/>
          <w:lang w:val="en-GB"/>
        </w:rPr>
        <w:t xml:space="preserve"> </w:t>
      </w:r>
    </w:p>
    <w:p w14:paraId="2B9CFF16" w14:textId="2C298C07" w:rsidR="00C8641A" w:rsidRPr="00C8641A" w:rsidRDefault="00C8641A" w:rsidP="008E7CE0">
      <w:pPr>
        <w:jc w:val="both"/>
        <w:rPr>
          <w:rFonts w:ascii="Arial" w:hAnsi="Arial" w:cs="Arial"/>
          <w:lang w:val="en-US"/>
        </w:rPr>
      </w:pPr>
      <w:r w:rsidRPr="00C8641A">
        <w:rPr>
          <w:rFonts w:ascii="Arial" w:hAnsi="Arial" w:cs="Arial"/>
          <w:lang w:val="en-US"/>
        </w:rPr>
        <w:t xml:space="preserve">This CPG provides the first structured, multidisciplinary framework to guide integration of DSNFs into routine diabetes care. By bridging the evidence-to-practice gap, it enables consistent, </w:t>
      </w:r>
      <w:proofErr w:type="spellStart"/>
      <w:r w:rsidRPr="00C8641A">
        <w:rPr>
          <w:rFonts w:ascii="Arial" w:hAnsi="Arial" w:cs="Arial"/>
          <w:lang w:val="en-US"/>
        </w:rPr>
        <w:t>personalised</w:t>
      </w:r>
      <w:proofErr w:type="spellEnd"/>
      <w:r w:rsidRPr="00C8641A">
        <w:rPr>
          <w:rFonts w:ascii="Arial" w:hAnsi="Arial" w:cs="Arial"/>
          <w:lang w:val="en-US"/>
        </w:rPr>
        <w:t xml:space="preserve"> implementation and supports clinicians to </w:t>
      </w:r>
      <w:proofErr w:type="spellStart"/>
      <w:r w:rsidRPr="00C8641A">
        <w:rPr>
          <w:rFonts w:ascii="Arial" w:hAnsi="Arial" w:cs="Arial"/>
          <w:lang w:val="en-US"/>
        </w:rPr>
        <w:t>optimise</w:t>
      </w:r>
      <w:proofErr w:type="spellEnd"/>
      <w:r w:rsidRPr="00C8641A">
        <w:rPr>
          <w:rFonts w:ascii="Arial" w:hAnsi="Arial" w:cs="Arial"/>
          <w:lang w:val="en-US"/>
        </w:rPr>
        <w:t xml:space="preserve"> </w:t>
      </w:r>
      <w:proofErr w:type="spellStart"/>
      <w:r w:rsidRPr="00C8641A">
        <w:rPr>
          <w:rFonts w:ascii="Arial" w:hAnsi="Arial" w:cs="Arial"/>
          <w:lang w:val="en-US"/>
        </w:rPr>
        <w:t>glycaemic</w:t>
      </w:r>
      <w:proofErr w:type="spellEnd"/>
      <w:r w:rsidRPr="00C8641A">
        <w:rPr>
          <w:rFonts w:ascii="Arial" w:hAnsi="Arial" w:cs="Arial"/>
          <w:lang w:val="en-US"/>
        </w:rPr>
        <w:t xml:space="preserve"> management when wholefood strategies alone are insufficient. The guide has immediate clinical relevance and potential to improve outcomes in diabetes care.</w:t>
      </w:r>
    </w:p>
    <w:sectPr w:rsidR="00C8641A" w:rsidRPr="00C8641A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09A"/>
    <w:multiLevelType w:val="hybridMultilevel"/>
    <w:tmpl w:val="B2C4B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027D07"/>
    <w:rsid w:val="0020438F"/>
    <w:rsid w:val="0020475E"/>
    <w:rsid w:val="00210143"/>
    <w:rsid w:val="002D1AC0"/>
    <w:rsid w:val="003F5231"/>
    <w:rsid w:val="004B106F"/>
    <w:rsid w:val="004C3CC2"/>
    <w:rsid w:val="005700B8"/>
    <w:rsid w:val="007D6B58"/>
    <w:rsid w:val="008649CA"/>
    <w:rsid w:val="008E7CE0"/>
    <w:rsid w:val="00927C90"/>
    <w:rsid w:val="00972A08"/>
    <w:rsid w:val="00A61641"/>
    <w:rsid w:val="00C34AE7"/>
    <w:rsid w:val="00C8641A"/>
    <w:rsid w:val="00C87988"/>
    <w:rsid w:val="00C920B7"/>
    <w:rsid w:val="00CB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504"/>
  <w15:chartTrackingRefBased/>
  <w15:docId w15:val="{49A97265-E088-4AA7-8F90-1767B77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B5B1C"/>
    <w:rPr>
      <w:rFonts w:ascii="Calibri" w:eastAsia="Times New Roman" w:hAnsi="Calibri" w:cs="Calibri"/>
      <w:kern w:val="0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A616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74C42526-4BDA-4665-97CB-2644D5088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Tanya Yandall</cp:lastModifiedBy>
  <cp:revision>3</cp:revision>
  <dcterms:created xsi:type="dcterms:W3CDTF">2026-05-18T03:27:00Z</dcterms:created>
  <dcterms:modified xsi:type="dcterms:W3CDTF">2026-05-18T03:27:00Z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