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FBF8B2C" w:rsidR="001564A4" w:rsidRPr="00EE21A3" w:rsidRDefault="0032244B" w:rsidP="0032244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1A3">
              <w:rPr>
                <w:rFonts w:ascii="Arial" w:hAnsi="Arial" w:cs="Arial"/>
                <w:b/>
                <w:bCs/>
                <w:sz w:val="22"/>
                <w:szCs w:val="22"/>
              </w:rPr>
              <w:t>Nontuberculous mycobacteria (NTM) in Australians with cystic fibrosis (CF): A national study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F5CF0C8" w:rsidR="001564A4" w:rsidRPr="00EE21A3" w:rsidRDefault="0032244B" w:rsidP="0032244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21A3">
              <w:rPr>
                <w:rFonts w:ascii="Arial" w:hAnsi="Arial" w:cs="Arial"/>
                <w:sz w:val="22"/>
                <w:szCs w:val="22"/>
              </w:rPr>
              <w:t>Christine M. Duplancic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EE21A3">
              <w:rPr>
                <w:rFonts w:ascii="Arial" w:hAnsi="Arial" w:cs="Arial"/>
                <w:sz w:val="22"/>
                <w:szCs w:val="22"/>
              </w:rPr>
              <w:t>, Claire E. Wainwright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EE21A3">
              <w:rPr>
                <w:rFonts w:ascii="Arial" w:hAnsi="Arial" w:cs="Arial"/>
                <w:sz w:val="22"/>
                <w:szCs w:val="22"/>
              </w:rPr>
              <w:t>, Rachel Thomson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3,4</w:t>
            </w:r>
            <w:r w:rsidRPr="00EE21A3">
              <w:rPr>
                <w:rFonts w:ascii="Arial" w:hAnsi="Arial" w:cs="Arial"/>
                <w:sz w:val="22"/>
                <w:szCs w:val="22"/>
              </w:rPr>
              <w:t>, Geraint B Rogers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EE21A3">
              <w:rPr>
                <w:rFonts w:ascii="Arial" w:hAnsi="Arial" w:cs="Arial"/>
                <w:sz w:val="22"/>
                <w:szCs w:val="22"/>
              </w:rPr>
              <w:t>, Archie C A Clements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EE21A3">
              <w:rPr>
                <w:rFonts w:ascii="Arial" w:hAnsi="Arial" w:cs="Arial"/>
                <w:sz w:val="22"/>
                <w:szCs w:val="22"/>
              </w:rPr>
              <w:t>, R Andres Floto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EE21A3">
              <w:rPr>
                <w:rFonts w:ascii="Arial" w:hAnsi="Arial" w:cs="Arial"/>
                <w:sz w:val="22"/>
                <w:szCs w:val="22"/>
              </w:rPr>
              <w:t>, Scott C. Bell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1,8,9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 and the NTM in CF Study Investigator</w:t>
            </w:r>
            <w:r w:rsidR="00720220">
              <w:rPr>
                <w:rFonts w:ascii="Arial" w:hAnsi="Arial" w:cs="Arial"/>
                <w:sz w:val="22"/>
                <w:szCs w:val="22"/>
              </w:rPr>
              <w:t>s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6E41F663" w:rsidR="001564A4" w:rsidRPr="00EE21A3" w:rsidRDefault="0032244B" w:rsidP="0032244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EE21A3">
              <w:rPr>
                <w:rFonts w:ascii="Arial" w:hAnsi="Arial" w:cs="Arial"/>
                <w:sz w:val="22"/>
                <w:szCs w:val="22"/>
              </w:rPr>
              <w:t>Child Health Research Centre, University of Queensland, QLD, Australia.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  <w:r w:rsidRPr="00EE21A3">
              <w:rPr>
                <w:rFonts w:ascii="Arial" w:hAnsi="Arial" w:cs="Arial"/>
                <w:sz w:val="22"/>
                <w:szCs w:val="22"/>
              </w:rPr>
              <w:t>Respiratory and Sleep Medicine, Queensland Children's Hospital, QLD, Australia.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Greenslopes Clinical Unit, University of Queensland, QLD, Australia 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Respiratory Research Unit, Gallipoli Medical Research Institute, QLD, Australia. 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Microbiome and Host Health, South Australian Health and Medical Research Institute, SA, Australia. </w:t>
            </w:r>
            <w:r w:rsidR="003012E4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EE21A3">
              <w:rPr>
                <w:rFonts w:ascii="Arial" w:hAnsi="Arial" w:cs="Arial"/>
                <w:sz w:val="22"/>
                <w:szCs w:val="22"/>
              </w:rPr>
              <w:t>University</w:t>
            </w:r>
            <w:r w:rsidR="00720220">
              <w:rPr>
                <w:rFonts w:ascii="Arial" w:hAnsi="Arial" w:cs="Arial"/>
                <w:sz w:val="22"/>
                <w:szCs w:val="22"/>
              </w:rPr>
              <w:t xml:space="preserve"> of Plymouth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55D83">
              <w:rPr>
                <w:rFonts w:ascii="Arial" w:hAnsi="Arial" w:cs="Arial"/>
                <w:sz w:val="22"/>
                <w:szCs w:val="22"/>
              </w:rPr>
              <w:t xml:space="preserve">Plymouth, </w:t>
            </w:r>
            <w:r w:rsidR="00720220">
              <w:rPr>
                <w:rFonts w:ascii="Arial" w:hAnsi="Arial" w:cs="Arial"/>
                <w:sz w:val="22"/>
                <w:szCs w:val="22"/>
              </w:rPr>
              <w:t>U</w:t>
            </w:r>
            <w:r w:rsidR="00255D83">
              <w:rPr>
                <w:rFonts w:ascii="Arial" w:hAnsi="Arial" w:cs="Arial"/>
                <w:sz w:val="22"/>
                <w:szCs w:val="22"/>
              </w:rPr>
              <w:t xml:space="preserve">nited </w:t>
            </w:r>
            <w:r w:rsidR="00720220">
              <w:rPr>
                <w:rFonts w:ascii="Arial" w:hAnsi="Arial" w:cs="Arial"/>
                <w:sz w:val="22"/>
                <w:szCs w:val="22"/>
              </w:rPr>
              <w:t>K</w:t>
            </w:r>
            <w:r w:rsidR="00255D83">
              <w:rPr>
                <w:rFonts w:ascii="Arial" w:hAnsi="Arial" w:cs="Arial"/>
                <w:sz w:val="22"/>
                <w:szCs w:val="22"/>
              </w:rPr>
              <w:t>ingdom</w:t>
            </w:r>
            <w:r w:rsidRPr="00EE21A3">
              <w:rPr>
                <w:rFonts w:ascii="Arial" w:hAnsi="Arial" w:cs="Arial"/>
                <w:sz w:val="22"/>
                <w:szCs w:val="22"/>
              </w:rPr>
              <w:t>.</w:t>
            </w:r>
            <w:r w:rsidR="00720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EE21A3">
              <w:rPr>
                <w:rFonts w:ascii="Arial" w:hAnsi="Arial" w:cs="Arial"/>
                <w:sz w:val="22"/>
                <w:szCs w:val="22"/>
              </w:rPr>
              <w:t>University of Cambridge Molecular Immunity Unit, Department of Medicine, Cambridge, United Kingdom.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Pr="00EE21A3">
              <w:rPr>
                <w:rFonts w:ascii="Arial" w:hAnsi="Arial" w:cs="Arial"/>
                <w:sz w:val="22"/>
                <w:szCs w:val="22"/>
              </w:rPr>
              <w:t xml:space="preserve">Adult Cystic Fibrosis Centre, The Prince Charles Hospital, QLD, Australia. </w:t>
            </w:r>
            <w:r w:rsidRPr="00EE21A3"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  <w:r w:rsidRPr="00EE21A3">
              <w:rPr>
                <w:rFonts w:ascii="Arial" w:hAnsi="Arial" w:cs="Arial"/>
                <w:sz w:val="22"/>
                <w:szCs w:val="22"/>
              </w:rPr>
              <w:t>Translational Research Institute, QLD, Australia.</w:t>
            </w:r>
          </w:p>
        </w:tc>
      </w:tr>
      <w:tr w:rsidR="001564A4" w:rsidRPr="0050053A" w14:paraId="6DAF615A" w14:textId="77777777" w:rsidTr="0032244B">
        <w:trPr>
          <w:trHeight w:hRule="exact" w:val="9690"/>
          <w:jc w:val="center"/>
        </w:trPr>
        <w:tc>
          <w:tcPr>
            <w:tcW w:w="8640" w:type="dxa"/>
            <w:shd w:val="clear" w:color="auto" w:fill="auto"/>
          </w:tcPr>
          <w:p w14:paraId="3D770CF7" w14:textId="2F5E3ACC" w:rsidR="001564A4" w:rsidRPr="007663F7" w:rsidRDefault="001564A4" w:rsidP="000A28E2">
            <w:pPr>
              <w:pStyle w:val="Pa12"/>
              <w:rPr>
                <w:rStyle w:val="A4"/>
                <w:bCs/>
              </w:rPr>
            </w:pPr>
            <w:r w:rsidRPr="00EE21A3">
              <w:rPr>
                <w:rStyle w:val="A4"/>
                <w:b/>
                <w:bCs/>
              </w:rPr>
              <w:t xml:space="preserve">Introduction/Aim: </w:t>
            </w:r>
            <w:r w:rsidR="0032244B" w:rsidRPr="00EE21A3">
              <w:rPr>
                <w:sz w:val="22"/>
                <w:szCs w:val="22"/>
              </w:rPr>
              <w:t xml:space="preserve">This study aims to understand the aetiology and epidemiology of </w:t>
            </w:r>
            <w:r w:rsidR="00EE21A3" w:rsidRPr="00EE21A3">
              <w:rPr>
                <w:sz w:val="22"/>
                <w:szCs w:val="22"/>
              </w:rPr>
              <w:t>chronic nontuberculous mycobacterial (NTM) infection</w:t>
            </w:r>
            <w:r w:rsidR="001211D1">
              <w:rPr>
                <w:sz w:val="22"/>
                <w:szCs w:val="22"/>
              </w:rPr>
              <w:t xml:space="preserve">, particularly </w:t>
            </w:r>
            <w:r w:rsidR="001211D1" w:rsidRPr="007663F7">
              <w:rPr>
                <w:i/>
                <w:iCs/>
                <w:sz w:val="22"/>
                <w:szCs w:val="22"/>
              </w:rPr>
              <w:t xml:space="preserve">Mycobacterium abscessus </w:t>
            </w:r>
            <w:r w:rsidR="001211D1" w:rsidRPr="00B719CC">
              <w:rPr>
                <w:sz w:val="22"/>
                <w:szCs w:val="22"/>
              </w:rPr>
              <w:t>(</w:t>
            </w:r>
            <w:proofErr w:type="spellStart"/>
            <w:r w:rsidR="001211D1" w:rsidRPr="00B719CC">
              <w:rPr>
                <w:sz w:val="22"/>
                <w:szCs w:val="22"/>
              </w:rPr>
              <w:t>Mabs</w:t>
            </w:r>
            <w:proofErr w:type="spellEnd"/>
            <w:r w:rsidR="001211D1" w:rsidRPr="00B719CC">
              <w:rPr>
                <w:sz w:val="22"/>
                <w:szCs w:val="22"/>
              </w:rPr>
              <w:t>)</w:t>
            </w:r>
            <w:r w:rsidR="001211D1" w:rsidRPr="007663F7">
              <w:rPr>
                <w:i/>
                <w:iCs/>
                <w:sz w:val="22"/>
                <w:szCs w:val="22"/>
              </w:rPr>
              <w:t>,</w:t>
            </w:r>
            <w:r w:rsidR="001D04DD" w:rsidRPr="007663F7">
              <w:rPr>
                <w:i/>
                <w:iCs/>
                <w:sz w:val="22"/>
                <w:szCs w:val="22"/>
              </w:rPr>
              <w:t xml:space="preserve"> </w:t>
            </w:r>
            <w:r w:rsidR="0032244B" w:rsidRPr="00517A44">
              <w:rPr>
                <w:sz w:val="22"/>
                <w:szCs w:val="22"/>
              </w:rPr>
              <w:t>in Australians with CF.</w:t>
            </w:r>
            <w:r w:rsidR="001211D1" w:rsidRPr="00517A44">
              <w:rPr>
                <w:sz w:val="22"/>
                <w:szCs w:val="22"/>
              </w:rPr>
              <w:t xml:space="preserve"> </w:t>
            </w:r>
          </w:p>
          <w:p w14:paraId="794971E4" w14:textId="77777777" w:rsidR="0032244B" w:rsidRPr="007663F7" w:rsidRDefault="0032244B" w:rsidP="000A28E2">
            <w:pPr>
              <w:pStyle w:val="Pa12"/>
              <w:rPr>
                <w:rStyle w:val="A4"/>
                <w:b/>
                <w:bCs/>
                <w:i/>
                <w:iCs/>
              </w:rPr>
            </w:pPr>
          </w:p>
          <w:p w14:paraId="1B39336E" w14:textId="435FA8CC" w:rsidR="001564A4" w:rsidRPr="00EE21A3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EE21A3">
              <w:rPr>
                <w:rStyle w:val="A4"/>
                <w:b/>
                <w:bCs/>
              </w:rPr>
              <w:t xml:space="preserve">Methods: </w:t>
            </w:r>
            <w:r w:rsidR="0032244B" w:rsidRPr="00EE21A3">
              <w:rPr>
                <w:sz w:val="22"/>
                <w:szCs w:val="22"/>
              </w:rPr>
              <w:t>Nationally, 18 CF services prospectively collected respiratory samples from p</w:t>
            </w:r>
            <w:r w:rsidR="00EE21A3">
              <w:rPr>
                <w:sz w:val="22"/>
                <w:szCs w:val="22"/>
              </w:rPr>
              <w:t xml:space="preserve">eople </w:t>
            </w:r>
            <w:r w:rsidR="0032244B" w:rsidRPr="00EE21A3">
              <w:rPr>
                <w:sz w:val="22"/>
                <w:szCs w:val="22"/>
              </w:rPr>
              <w:t>w</w:t>
            </w:r>
            <w:r w:rsidR="00EE21A3">
              <w:rPr>
                <w:sz w:val="22"/>
                <w:szCs w:val="22"/>
              </w:rPr>
              <w:t xml:space="preserve">ith </w:t>
            </w:r>
            <w:r w:rsidR="0032244B" w:rsidRPr="00EE21A3">
              <w:rPr>
                <w:sz w:val="22"/>
                <w:szCs w:val="22"/>
              </w:rPr>
              <w:t xml:space="preserve">CF for </w:t>
            </w:r>
            <w:r w:rsidR="00EE21A3">
              <w:rPr>
                <w:sz w:val="22"/>
                <w:szCs w:val="22"/>
              </w:rPr>
              <w:t>NTM</w:t>
            </w:r>
            <w:r w:rsidR="0032244B" w:rsidRPr="00EE21A3">
              <w:rPr>
                <w:sz w:val="22"/>
                <w:szCs w:val="22"/>
              </w:rPr>
              <w:t xml:space="preserve"> culture at regular clinic appointments (Baseline, 6 months, 1 year, then annual to 4 years); associated clinical, microbiological, geographic and social data was supplied by the clinic and supplemented by linkage with Australian CF Data Registry. </w:t>
            </w:r>
          </w:p>
          <w:p w14:paraId="6BF3F094" w14:textId="3A80457E" w:rsidR="001564A4" w:rsidRDefault="001564A4" w:rsidP="001211D1">
            <w:pPr>
              <w:jc w:val="both"/>
              <w:rPr>
                <w:sz w:val="22"/>
                <w:szCs w:val="22"/>
              </w:rPr>
            </w:pPr>
            <w:r w:rsidRPr="00EE21A3">
              <w:rPr>
                <w:rFonts w:ascii="Arial" w:hAnsi="Arial" w:cs="Arial"/>
                <w:sz w:val="22"/>
                <w:szCs w:val="22"/>
              </w:rPr>
              <w:br/>
            </w:r>
            <w:r w:rsidRPr="00EE21A3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Cumulatively, 20.3% of the 1321 cohort cultured NTM during the </w:t>
            </w:r>
            <w:r w:rsidR="00720220">
              <w:rPr>
                <w:rFonts w:ascii="Arial" w:hAnsi="Arial" w:cs="Arial"/>
                <w:sz w:val="22"/>
                <w:szCs w:val="22"/>
              </w:rPr>
              <w:t>observational period</w:t>
            </w:r>
            <w:r w:rsidR="001D04D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E2656">
              <w:rPr>
                <w:rFonts w:ascii="Arial" w:hAnsi="Arial" w:cs="Arial"/>
                <w:sz w:val="22"/>
                <w:szCs w:val="22"/>
              </w:rPr>
              <w:t>S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>pecies from the</w:t>
            </w:r>
            <w:r w:rsidR="001D04DD">
              <w:rPr>
                <w:rFonts w:ascii="Arial" w:hAnsi="Arial" w:cs="Arial"/>
                <w:sz w:val="22"/>
                <w:szCs w:val="22"/>
              </w:rPr>
              <w:t xml:space="preserve"> pathogenic </w:t>
            </w:r>
            <w:r w:rsidR="0032244B" w:rsidRPr="00EE21A3">
              <w:rPr>
                <w:rFonts w:ascii="Arial" w:hAnsi="Arial" w:cs="Arial"/>
                <w:i/>
                <w:iCs/>
                <w:sz w:val="22"/>
                <w:szCs w:val="22"/>
              </w:rPr>
              <w:t>Mycobacterium avium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 complex (MAC) and </w:t>
            </w:r>
            <w:proofErr w:type="spellStart"/>
            <w:r w:rsidR="001D04DD">
              <w:rPr>
                <w:rFonts w:ascii="Arial" w:hAnsi="Arial" w:cs="Arial"/>
                <w:sz w:val="22"/>
                <w:szCs w:val="22"/>
              </w:rPr>
              <w:t>M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>abs</w:t>
            </w:r>
            <w:proofErr w:type="spellEnd"/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 occurred at a similar rate (~8%)</w:t>
            </w:r>
            <w:r w:rsidR="00410533">
              <w:rPr>
                <w:rFonts w:ascii="Arial" w:hAnsi="Arial" w:cs="Arial"/>
                <w:sz w:val="22"/>
                <w:szCs w:val="22"/>
              </w:rPr>
              <w:t>, 6.9% of the cohort cultured other (non-</w:t>
            </w:r>
            <w:proofErr w:type="spellStart"/>
            <w:r w:rsidR="00410533">
              <w:rPr>
                <w:rFonts w:ascii="Arial" w:hAnsi="Arial" w:cs="Arial"/>
                <w:sz w:val="22"/>
                <w:szCs w:val="22"/>
              </w:rPr>
              <w:t>Mabs</w:t>
            </w:r>
            <w:proofErr w:type="spellEnd"/>
            <w:r w:rsidR="00410533">
              <w:rPr>
                <w:rFonts w:ascii="Arial" w:hAnsi="Arial" w:cs="Arial"/>
                <w:sz w:val="22"/>
                <w:szCs w:val="22"/>
              </w:rPr>
              <w:t>, non-MAC) NTM species</w:t>
            </w:r>
            <w:r w:rsidR="00FE2656">
              <w:rPr>
                <w:rFonts w:ascii="Arial" w:hAnsi="Arial" w:cs="Arial"/>
                <w:sz w:val="22"/>
                <w:szCs w:val="22"/>
              </w:rPr>
              <w:t>.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0533" w:rsidRPr="00B719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M. </w:t>
            </w:r>
            <w:proofErr w:type="spellStart"/>
            <w:r w:rsidR="00410533" w:rsidRPr="00B719CC">
              <w:rPr>
                <w:rFonts w:ascii="Arial" w:hAnsi="Arial" w:cs="Arial"/>
                <w:i/>
                <w:iCs/>
                <w:sz w:val="22"/>
                <w:szCs w:val="22"/>
              </w:rPr>
              <w:t>chelonae</w:t>
            </w:r>
            <w:proofErr w:type="spellEnd"/>
            <w:r w:rsidR="00410533" w:rsidRPr="00B719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10533">
              <w:rPr>
                <w:rFonts w:ascii="Arial" w:hAnsi="Arial" w:cs="Arial"/>
                <w:sz w:val="22"/>
                <w:szCs w:val="22"/>
              </w:rPr>
              <w:t xml:space="preserve">was the most frequently isolated other NTM species (30% of other NTM+ participants). </w:t>
            </w:r>
            <w:proofErr w:type="spellStart"/>
            <w:r w:rsidR="001211D1">
              <w:rPr>
                <w:rFonts w:ascii="Arial" w:hAnsi="Arial" w:cs="Arial"/>
                <w:sz w:val="22"/>
                <w:szCs w:val="22"/>
              </w:rPr>
              <w:t>Mabs</w:t>
            </w:r>
            <w:proofErr w:type="spellEnd"/>
            <w:r w:rsidR="001211D1">
              <w:rPr>
                <w:rFonts w:ascii="Arial" w:hAnsi="Arial" w:cs="Arial"/>
                <w:sz w:val="22"/>
                <w:szCs w:val="22"/>
              </w:rPr>
              <w:t xml:space="preserve"> infection progressed to p</w:t>
            </w:r>
            <w:r w:rsidR="00EE21A3">
              <w:rPr>
                <w:rFonts w:ascii="Arial" w:hAnsi="Arial" w:cs="Arial"/>
                <w:sz w:val="22"/>
                <w:szCs w:val="22"/>
              </w:rPr>
              <w:t>ulmonary disease (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>PD</w:t>
            </w:r>
            <w:r w:rsidR="00EE21A3">
              <w:rPr>
                <w:rFonts w:ascii="Arial" w:hAnsi="Arial" w:cs="Arial"/>
                <w:sz w:val="22"/>
                <w:szCs w:val="22"/>
              </w:rPr>
              <w:t>)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1D1">
              <w:rPr>
                <w:rFonts w:ascii="Arial" w:hAnsi="Arial" w:cs="Arial"/>
                <w:sz w:val="22"/>
                <w:szCs w:val="22"/>
              </w:rPr>
              <w:t>more frequently than MAC infection (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47.2% 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>20.5%</w:t>
            </w:r>
            <w:r w:rsidR="001211D1">
              <w:rPr>
                <w:rFonts w:ascii="Arial" w:hAnsi="Arial" w:cs="Arial"/>
                <w:sz w:val="22"/>
                <w:szCs w:val="22"/>
              </w:rPr>
              <w:t>, respectively</w:t>
            </w:r>
            <w:r w:rsidR="00517A44">
              <w:rPr>
                <w:rFonts w:ascii="Arial" w:hAnsi="Arial" w:cs="Arial"/>
                <w:sz w:val="22"/>
                <w:szCs w:val="22"/>
              </w:rPr>
              <w:t xml:space="preserve"> (p&lt;0.01)</w:t>
            </w:r>
            <w:r w:rsidR="001211D1">
              <w:rPr>
                <w:rFonts w:ascii="Arial" w:hAnsi="Arial" w:cs="Arial"/>
                <w:sz w:val="22"/>
                <w:szCs w:val="22"/>
              </w:rPr>
              <w:t>)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10533">
              <w:rPr>
                <w:rFonts w:ascii="Arial" w:hAnsi="Arial" w:cs="Arial"/>
                <w:sz w:val="22"/>
                <w:szCs w:val="22"/>
              </w:rPr>
              <w:t>No other NTM+ participants were diagnosed with NTM-PD. E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radication therapy was administered in 80.4% of participants with </w:t>
            </w:r>
            <w:proofErr w:type="spellStart"/>
            <w:r w:rsidR="0032244B" w:rsidRPr="00EE21A3">
              <w:rPr>
                <w:rFonts w:ascii="Arial" w:hAnsi="Arial" w:cs="Arial"/>
                <w:sz w:val="22"/>
                <w:szCs w:val="22"/>
              </w:rPr>
              <w:t>Mabs</w:t>
            </w:r>
            <w:proofErr w:type="spellEnd"/>
            <w:r w:rsidR="0032244B" w:rsidRPr="00EE21A3">
              <w:rPr>
                <w:rFonts w:ascii="Arial" w:hAnsi="Arial" w:cs="Arial"/>
                <w:sz w:val="22"/>
                <w:szCs w:val="22"/>
              </w:rPr>
              <w:t>-PD and 69.5% of participants with MAC-PD. Treatment cleared the infection in 4</w:t>
            </w:r>
            <w:r w:rsidR="00517A44">
              <w:rPr>
                <w:rFonts w:ascii="Arial" w:hAnsi="Arial" w:cs="Arial"/>
                <w:sz w:val="22"/>
                <w:szCs w:val="22"/>
              </w:rPr>
              <w:t>6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>% and 6</w:t>
            </w:r>
            <w:r w:rsidR="00517A44">
              <w:rPr>
                <w:rFonts w:ascii="Arial" w:hAnsi="Arial" w:cs="Arial"/>
                <w:sz w:val="22"/>
                <w:szCs w:val="22"/>
              </w:rPr>
              <w:t>1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% cases, respectively. </w:t>
            </w:r>
            <w:r w:rsidR="001211D1" w:rsidRPr="00EE21A3">
              <w:rPr>
                <w:rFonts w:ascii="Arial" w:hAnsi="Arial" w:cs="Arial"/>
                <w:sz w:val="22"/>
                <w:szCs w:val="22"/>
              </w:rPr>
              <w:t xml:space="preserve">Participants &lt;25 years had higher prevalence of </w:t>
            </w:r>
            <w:proofErr w:type="spellStart"/>
            <w:r w:rsidR="001211D1" w:rsidRPr="00EE21A3">
              <w:rPr>
                <w:rFonts w:ascii="Arial" w:hAnsi="Arial" w:cs="Arial"/>
                <w:sz w:val="22"/>
                <w:szCs w:val="22"/>
              </w:rPr>
              <w:t>Mab</w:t>
            </w:r>
            <w:r w:rsidR="001211D1" w:rsidRPr="00EE21A3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proofErr w:type="spellEnd"/>
            <w:r w:rsidR="001211D1" w:rsidRPr="00EE21A3">
              <w:rPr>
                <w:rFonts w:ascii="Arial" w:hAnsi="Arial" w:cs="Arial"/>
                <w:sz w:val="22"/>
                <w:szCs w:val="22"/>
              </w:rPr>
              <w:t xml:space="preserve"> than older participants (p&lt;0.01 to p&lt;0.0001).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4DD">
              <w:rPr>
                <w:rFonts w:ascii="Arial" w:hAnsi="Arial" w:cs="Arial"/>
                <w:sz w:val="22"/>
                <w:szCs w:val="22"/>
              </w:rPr>
              <w:t xml:space="preserve">Chronic </w:t>
            </w:r>
            <w:r w:rsidR="00720220" w:rsidRPr="007663F7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1D04DD" w:rsidRPr="00766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seudomonas </w:t>
            </w:r>
            <w:r w:rsidR="00720220" w:rsidRPr="007663F7">
              <w:rPr>
                <w:rFonts w:ascii="Arial" w:hAnsi="Arial" w:cs="Arial"/>
                <w:i/>
                <w:iCs/>
                <w:sz w:val="22"/>
                <w:szCs w:val="22"/>
              </w:rPr>
              <w:t>aeruginosa</w:t>
            </w:r>
            <w:r w:rsidR="00720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4DD">
              <w:rPr>
                <w:rFonts w:ascii="Arial" w:hAnsi="Arial" w:cs="Arial"/>
                <w:sz w:val="22"/>
                <w:szCs w:val="22"/>
              </w:rPr>
              <w:t>infection reduce</w:t>
            </w:r>
            <w:r w:rsidR="00FE2656">
              <w:rPr>
                <w:rFonts w:ascii="Arial" w:hAnsi="Arial" w:cs="Arial"/>
                <w:sz w:val="22"/>
                <w:szCs w:val="22"/>
              </w:rPr>
              <w:t>d</w:t>
            </w:r>
            <w:r w:rsidR="001D04DD">
              <w:rPr>
                <w:rFonts w:ascii="Arial" w:hAnsi="Arial" w:cs="Arial"/>
                <w:sz w:val="22"/>
                <w:szCs w:val="22"/>
              </w:rPr>
              <w:t xml:space="preserve"> the risk of acquiring a pathogenic NTM species</w:t>
            </w:r>
            <w:r w:rsidR="0032244B" w:rsidRPr="00EE21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11D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1211D1">
              <w:rPr>
                <w:rFonts w:ascii="Arial" w:hAnsi="Arial" w:cs="Arial"/>
                <w:sz w:val="22"/>
                <w:szCs w:val="22"/>
              </w:rPr>
              <w:t>Mabs</w:t>
            </w:r>
            <w:proofErr w:type="spellEnd"/>
            <w:r w:rsidR="001211D1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517A44">
              <w:rPr>
                <w:rFonts w:ascii="Arial" w:hAnsi="Arial" w:cs="Arial"/>
                <w:sz w:val="22"/>
                <w:szCs w:val="22"/>
              </w:rPr>
              <w:t xml:space="preserve">dds </w:t>
            </w:r>
            <w:r w:rsidR="001211D1">
              <w:rPr>
                <w:rFonts w:ascii="Arial" w:hAnsi="Arial" w:cs="Arial"/>
                <w:sz w:val="22"/>
                <w:szCs w:val="22"/>
              </w:rPr>
              <w:t>R</w:t>
            </w:r>
            <w:r w:rsidR="00517A44">
              <w:rPr>
                <w:rFonts w:ascii="Arial" w:hAnsi="Arial" w:cs="Arial"/>
                <w:sz w:val="22"/>
                <w:szCs w:val="22"/>
              </w:rPr>
              <w:t>atio (OR)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 0.56, CI 0.34 – 0.93, p=0.02; MAC OR 0.62, CI 0.40 – 0.97 p=0.037). Macrolide</w:t>
            </w:r>
            <w:r w:rsidR="00FE2656">
              <w:rPr>
                <w:rFonts w:ascii="Arial" w:hAnsi="Arial" w:cs="Arial"/>
                <w:sz w:val="22"/>
                <w:szCs w:val="22"/>
              </w:rPr>
              <w:t xml:space="preserve"> usage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 reduce</w:t>
            </w:r>
            <w:r w:rsidR="00FE2656">
              <w:rPr>
                <w:rFonts w:ascii="Arial" w:hAnsi="Arial" w:cs="Arial"/>
                <w:sz w:val="22"/>
                <w:szCs w:val="22"/>
              </w:rPr>
              <w:t>d</w:t>
            </w:r>
            <w:r w:rsidR="001211D1">
              <w:rPr>
                <w:rFonts w:ascii="Arial" w:hAnsi="Arial" w:cs="Arial"/>
                <w:sz w:val="22"/>
                <w:szCs w:val="22"/>
              </w:rPr>
              <w:t xml:space="preserve"> the risk of acquiring a </w:t>
            </w:r>
            <w:proofErr w:type="spellStart"/>
            <w:r w:rsidR="001211D1">
              <w:rPr>
                <w:rFonts w:ascii="Arial" w:hAnsi="Arial" w:cs="Arial"/>
                <w:sz w:val="22"/>
                <w:szCs w:val="22"/>
              </w:rPr>
              <w:t>Mabs</w:t>
            </w:r>
            <w:proofErr w:type="spellEnd"/>
            <w:r w:rsidR="001211D1">
              <w:rPr>
                <w:rFonts w:ascii="Arial" w:hAnsi="Arial" w:cs="Arial"/>
                <w:sz w:val="22"/>
                <w:szCs w:val="22"/>
              </w:rPr>
              <w:t xml:space="preserve"> infection (OR 0.25, CI 0.13– 0.52, p=0.0001). </w:t>
            </w:r>
          </w:p>
          <w:p w14:paraId="025677EF" w14:textId="77777777" w:rsidR="001211D1" w:rsidRPr="001211D1" w:rsidRDefault="001211D1" w:rsidP="001211D1">
            <w:pPr>
              <w:pStyle w:val="Default"/>
            </w:pPr>
          </w:p>
          <w:p w14:paraId="652F7BE1" w14:textId="4C618657" w:rsidR="001564A4" w:rsidRPr="00EE21A3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EE21A3">
              <w:rPr>
                <w:rStyle w:val="A4"/>
                <w:b/>
                <w:bCs/>
              </w:rPr>
              <w:t xml:space="preserve">Conclusion: </w:t>
            </w:r>
            <w:r w:rsidR="0032244B" w:rsidRPr="00EE21A3">
              <w:rPr>
                <w:sz w:val="22"/>
                <w:szCs w:val="22"/>
              </w:rPr>
              <w:t xml:space="preserve">In Australia, </w:t>
            </w:r>
            <w:proofErr w:type="spellStart"/>
            <w:r w:rsidR="0032244B" w:rsidRPr="00EE21A3">
              <w:rPr>
                <w:sz w:val="22"/>
                <w:szCs w:val="22"/>
              </w:rPr>
              <w:t>pwCF</w:t>
            </w:r>
            <w:proofErr w:type="spellEnd"/>
            <w:r w:rsidR="0032244B" w:rsidRPr="00EE21A3">
              <w:rPr>
                <w:sz w:val="22"/>
                <w:szCs w:val="22"/>
              </w:rPr>
              <w:t xml:space="preserve"> &lt;25 years of age were more likely to be infected with </w:t>
            </w:r>
            <w:proofErr w:type="spellStart"/>
            <w:r w:rsidR="0032244B" w:rsidRPr="00EE21A3">
              <w:rPr>
                <w:sz w:val="22"/>
                <w:szCs w:val="22"/>
              </w:rPr>
              <w:t>Mabs</w:t>
            </w:r>
            <w:proofErr w:type="spellEnd"/>
            <w:r w:rsidR="0032244B" w:rsidRPr="00EE21A3">
              <w:rPr>
                <w:sz w:val="22"/>
                <w:szCs w:val="22"/>
              </w:rPr>
              <w:t xml:space="preserve"> than older </w:t>
            </w:r>
            <w:proofErr w:type="spellStart"/>
            <w:r w:rsidR="0032244B" w:rsidRPr="00EE21A3">
              <w:rPr>
                <w:sz w:val="22"/>
                <w:szCs w:val="22"/>
              </w:rPr>
              <w:t>pwCF</w:t>
            </w:r>
            <w:proofErr w:type="spellEnd"/>
            <w:r w:rsidR="0032244B" w:rsidRPr="00EE21A3">
              <w:rPr>
                <w:sz w:val="22"/>
                <w:szCs w:val="22"/>
              </w:rPr>
              <w:t xml:space="preserve">, progression to PD was more common with </w:t>
            </w:r>
            <w:proofErr w:type="spellStart"/>
            <w:r w:rsidR="0032244B" w:rsidRPr="00EE21A3">
              <w:rPr>
                <w:sz w:val="22"/>
                <w:szCs w:val="22"/>
              </w:rPr>
              <w:t>Mabs</w:t>
            </w:r>
            <w:proofErr w:type="spellEnd"/>
            <w:r w:rsidR="0032244B" w:rsidRPr="00EE21A3">
              <w:rPr>
                <w:sz w:val="22"/>
                <w:szCs w:val="22"/>
              </w:rPr>
              <w:t xml:space="preserve"> infection and eradication</w:t>
            </w:r>
            <w:r w:rsidR="00517A44">
              <w:rPr>
                <w:sz w:val="22"/>
                <w:szCs w:val="22"/>
              </w:rPr>
              <w:t xml:space="preserve"> </w:t>
            </w:r>
            <w:r w:rsidR="0032244B" w:rsidRPr="00EE21A3">
              <w:rPr>
                <w:sz w:val="22"/>
                <w:szCs w:val="22"/>
              </w:rPr>
              <w:t>successful</w:t>
            </w:r>
            <w:r w:rsidR="00517A44">
              <w:rPr>
                <w:sz w:val="22"/>
                <w:szCs w:val="22"/>
              </w:rPr>
              <w:t xml:space="preserve"> in less than half of treated participants</w:t>
            </w:r>
            <w:r w:rsidR="0032244B" w:rsidRPr="00EE21A3">
              <w:rPr>
                <w:sz w:val="22"/>
                <w:szCs w:val="22"/>
              </w:rPr>
              <w:t>.</w:t>
            </w:r>
            <w:r w:rsidR="00EE21A3" w:rsidRPr="00EE21A3">
              <w:rPr>
                <w:sz w:val="22"/>
                <w:szCs w:val="22"/>
              </w:rPr>
              <w:t xml:space="preserve"> </w:t>
            </w:r>
            <w:r w:rsidR="00EE21A3">
              <w:rPr>
                <w:sz w:val="22"/>
                <w:szCs w:val="22"/>
              </w:rPr>
              <w:t xml:space="preserve">Chronic </w:t>
            </w:r>
            <w:r w:rsidR="00720220" w:rsidRPr="007663F7">
              <w:rPr>
                <w:i/>
                <w:iCs/>
                <w:sz w:val="22"/>
                <w:szCs w:val="22"/>
              </w:rPr>
              <w:t>P. aeruginosa</w:t>
            </w:r>
            <w:r w:rsidR="00EE21A3">
              <w:rPr>
                <w:sz w:val="22"/>
                <w:szCs w:val="22"/>
              </w:rPr>
              <w:t xml:space="preserve"> infection </w:t>
            </w:r>
            <w:r w:rsidR="001D04DD">
              <w:rPr>
                <w:sz w:val="22"/>
                <w:szCs w:val="22"/>
              </w:rPr>
              <w:t>reduce</w:t>
            </w:r>
            <w:r w:rsidR="00FE2656">
              <w:rPr>
                <w:sz w:val="22"/>
                <w:szCs w:val="22"/>
              </w:rPr>
              <w:t>d</w:t>
            </w:r>
            <w:r w:rsidR="001D04DD">
              <w:rPr>
                <w:sz w:val="22"/>
                <w:szCs w:val="22"/>
              </w:rPr>
              <w:t xml:space="preserve"> the risk </w:t>
            </w:r>
            <w:r w:rsidR="007663F7">
              <w:rPr>
                <w:sz w:val="22"/>
                <w:szCs w:val="22"/>
              </w:rPr>
              <w:t xml:space="preserve">of </w:t>
            </w:r>
            <w:r w:rsidR="00EE21A3">
              <w:rPr>
                <w:sz w:val="22"/>
                <w:szCs w:val="22"/>
              </w:rPr>
              <w:t>NTM infection</w:t>
            </w:r>
            <w:r w:rsidR="007663F7">
              <w:rPr>
                <w:sz w:val="22"/>
                <w:szCs w:val="22"/>
              </w:rPr>
              <w:t xml:space="preserve">. Macrolide usage reduced the risk of infection by </w:t>
            </w:r>
            <w:proofErr w:type="spellStart"/>
            <w:r w:rsidR="007663F7">
              <w:rPr>
                <w:sz w:val="22"/>
                <w:szCs w:val="22"/>
              </w:rPr>
              <w:t>Mabs</w:t>
            </w:r>
            <w:proofErr w:type="spellEnd"/>
            <w:r w:rsidR="007663F7">
              <w:rPr>
                <w:sz w:val="22"/>
                <w:szCs w:val="22"/>
              </w:rPr>
              <w:t xml:space="preserve">. </w:t>
            </w:r>
          </w:p>
          <w:p w14:paraId="2C439025" w14:textId="546BA7FF" w:rsidR="0032244B" w:rsidRPr="00EE21A3" w:rsidRDefault="001564A4" w:rsidP="00EE21A3">
            <w:pPr>
              <w:pStyle w:val="Pa12"/>
              <w:rPr>
                <w:sz w:val="22"/>
                <w:szCs w:val="22"/>
              </w:rPr>
            </w:pPr>
            <w:r w:rsidRPr="00EE21A3">
              <w:rPr>
                <w:sz w:val="22"/>
                <w:szCs w:val="22"/>
              </w:rPr>
              <w:br/>
            </w:r>
            <w:r w:rsidRPr="00EE21A3">
              <w:rPr>
                <w:rStyle w:val="A4"/>
                <w:b/>
                <w:bCs/>
              </w:rPr>
              <w:t xml:space="preserve">Grant Support: </w:t>
            </w:r>
            <w:r w:rsidR="0032244B" w:rsidRPr="00EE21A3">
              <w:rPr>
                <w:sz w:val="22"/>
                <w:szCs w:val="22"/>
              </w:rPr>
              <w:t xml:space="preserve">NHMRC (APP1102494) and </w:t>
            </w:r>
            <w:r w:rsidR="00720220">
              <w:rPr>
                <w:sz w:val="22"/>
                <w:szCs w:val="22"/>
              </w:rPr>
              <w:t xml:space="preserve">USA </w:t>
            </w:r>
            <w:r w:rsidR="0032244B" w:rsidRPr="00EE21A3">
              <w:rPr>
                <w:sz w:val="22"/>
                <w:szCs w:val="22"/>
              </w:rPr>
              <w:t xml:space="preserve">CFF </w:t>
            </w:r>
            <w:r w:rsidR="00720220">
              <w:rPr>
                <w:sz w:val="22"/>
                <w:szCs w:val="22"/>
              </w:rPr>
              <w:t>(</w:t>
            </w:r>
            <w:r w:rsidR="0032244B" w:rsidRPr="00EE21A3">
              <w:rPr>
                <w:color w:val="000000"/>
                <w:sz w:val="22"/>
                <w:szCs w:val="22"/>
              </w:rPr>
              <w:t>BELL19A0</w:t>
            </w:r>
            <w:r w:rsidR="0032244B" w:rsidRPr="00EE21A3">
              <w:rPr>
                <w:sz w:val="22"/>
                <w:szCs w:val="22"/>
              </w:rPr>
              <w:t>)</w:t>
            </w:r>
          </w:p>
          <w:p w14:paraId="5F58D34F" w14:textId="27BE2CAE" w:rsidR="001564A4" w:rsidRPr="00EE21A3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7C36A9DC" w14:textId="7A2CBE9A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211D1"/>
    <w:rsid w:val="001564A4"/>
    <w:rsid w:val="001D04DD"/>
    <w:rsid w:val="00230056"/>
    <w:rsid w:val="00255D83"/>
    <w:rsid w:val="002D227A"/>
    <w:rsid w:val="003012E4"/>
    <w:rsid w:val="0032244B"/>
    <w:rsid w:val="00410533"/>
    <w:rsid w:val="0051574E"/>
    <w:rsid w:val="00517A44"/>
    <w:rsid w:val="006D7AF0"/>
    <w:rsid w:val="00720220"/>
    <w:rsid w:val="00735851"/>
    <w:rsid w:val="007663F7"/>
    <w:rsid w:val="008803FA"/>
    <w:rsid w:val="00935BDE"/>
    <w:rsid w:val="00A16EC3"/>
    <w:rsid w:val="00A7701D"/>
    <w:rsid w:val="00B12E32"/>
    <w:rsid w:val="00B719CC"/>
    <w:rsid w:val="00B915DC"/>
    <w:rsid w:val="00E0700F"/>
    <w:rsid w:val="00E34F8C"/>
    <w:rsid w:val="00EE21A3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7202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2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220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Christine Duplancic</cp:lastModifiedBy>
  <cp:revision>2</cp:revision>
  <dcterms:created xsi:type="dcterms:W3CDTF">2023-10-24T00:30:00Z</dcterms:created>
  <dcterms:modified xsi:type="dcterms:W3CDTF">2023-10-24T00:30:00Z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2023-10-17T11:29:46Z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239eab78-c6fd-4ee6-b80b-52c33750eefa</vt:lpwstr>
  </property>
  <property fmtid="{D5CDD505-2E9C-101B-9397-08002B2CF9AE}" pid="10" name="MSIP_Label_0f488380-630a-4f55-a077-a19445e3f360_ContentBits">
    <vt:lpwstr>0</vt:lpwstr>
  </property>
</Properties>
</file>