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93026B" w:rsidRPr="00002FFD" w14:paraId="0941AB05" w14:textId="77777777" w:rsidTr="00093D85">
        <w:trPr>
          <w:trHeight w:val="706"/>
          <w:jc w:val="center"/>
        </w:trPr>
        <w:tc>
          <w:tcPr>
            <w:tcW w:w="5000" w:type="pct"/>
            <w:shd w:val="clear" w:color="auto" w:fill="auto"/>
          </w:tcPr>
          <w:p w14:paraId="2C3F08CF" w14:textId="77777777" w:rsidR="0093026B" w:rsidRPr="00754C12" w:rsidRDefault="00105A65" w:rsidP="00093D85">
            <w:pPr>
              <w:pStyle w:val="CommentText"/>
              <w:jc w:val="center"/>
              <w:rPr>
                <w:rFonts w:ascii="Arial" w:hAnsi="Arial" w:cs="Arial"/>
                <w:b/>
                <w:sz w:val="22"/>
                <w:szCs w:val="22"/>
                <w:lang w:val="en-AU"/>
              </w:rPr>
            </w:pPr>
            <w:r w:rsidRPr="00754C12">
              <w:rPr>
                <w:rFonts w:ascii="Arial" w:hAnsi="Arial" w:cs="Arial"/>
                <w:b/>
                <w:sz w:val="22"/>
                <w:szCs w:val="22"/>
              </w:rPr>
              <w:t>Identifying and differentiating</w:t>
            </w:r>
            <w:r w:rsidR="00632DE0" w:rsidRPr="00754C12">
              <w:rPr>
                <w:rFonts w:ascii="Arial" w:hAnsi="Arial" w:cs="Arial"/>
                <w:b/>
                <w:sz w:val="22"/>
                <w:szCs w:val="22"/>
              </w:rPr>
              <w:t xml:space="preserve"> lifelong FEV</w:t>
            </w:r>
            <w:r w:rsidR="00632DE0" w:rsidRPr="00754C12">
              <w:rPr>
                <w:rFonts w:ascii="Arial" w:hAnsi="Arial" w:cs="Arial"/>
                <w:b/>
                <w:sz w:val="22"/>
                <w:szCs w:val="22"/>
                <w:vertAlign w:val="subscript"/>
              </w:rPr>
              <w:t>1</w:t>
            </w:r>
            <w:r w:rsidR="00632DE0" w:rsidRPr="00754C12">
              <w:rPr>
                <w:rFonts w:ascii="Arial" w:hAnsi="Arial" w:cs="Arial"/>
                <w:b/>
                <w:sz w:val="22"/>
                <w:szCs w:val="22"/>
              </w:rPr>
              <w:t>/FVC and pre-COPD trajectories</w:t>
            </w:r>
            <w:r w:rsidRPr="00754C12">
              <w:rPr>
                <w:rFonts w:ascii="Arial" w:hAnsi="Arial" w:cs="Arial"/>
                <w:b/>
                <w:sz w:val="22"/>
                <w:szCs w:val="22"/>
              </w:rPr>
              <w:t xml:space="preserve"> using biomarkers: a novel approach</w:t>
            </w:r>
          </w:p>
        </w:tc>
      </w:tr>
      <w:tr w:rsidR="0093026B" w:rsidRPr="00002FFD" w14:paraId="4203829E" w14:textId="77777777">
        <w:trPr>
          <w:jc w:val="center"/>
        </w:trPr>
        <w:tc>
          <w:tcPr>
            <w:tcW w:w="5000" w:type="pct"/>
            <w:shd w:val="clear" w:color="auto" w:fill="auto"/>
          </w:tcPr>
          <w:p w14:paraId="374A8CAC" w14:textId="77777777" w:rsidR="0093026B" w:rsidRPr="00754C12" w:rsidRDefault="00632DE0" w:rsidP="00632DE0">
            <w:pPr>
              <w:rPr>
                <w:rFonts w:ascii="Arial" w:hAnsi="Arial" w:cs="Arial"/>
                <w:sz w:val="22"/>
                <w:szCs w:val="22"/>
                <w:lang w:val="en-AU" w:eastAsia="en-GB"/>
              </w:rPr>
            </w:pPr>
            <w:r w:rsidRPr="00754C12">
              <w:rPr>
                <w:rFonts w:ascii="Arial" w:hAnsi="Arial" w:cs="Arial"/>
                <w:bCs/>
                <w:sz w:val="22"/>
                <w:szCs w:val="22"/>
              </w:rPr>
              <w:t xml:space="preserve">Dinh S Bui </w:t>
            </w:r>
            <w:r w:rsidRPr="00754C12">
              <w:rPr>
                <w:rFonts w:ascii="Arial" w:hAnsi="Arial" w:cs="Arial"/>
                <w:bCs/>
                <w:sz w:val="22"/>
                <w:szCs w:val="22"/>
                <w:vertAlign w:val="superscript"/>
              </w:rPr>
              <w:t>1</w:t>
            </w:r>
            <w:r w:rsidRPr="00754C12">
              <w:rPr>
                <w:rFonts w:ascii="Arial" w:hAnsi="Arial" w:cs="Arial"/>
                <w:bCs/>
                <w:sz w:val="22"/>
                <w:szCs w:val="22"/>
              </w:rPr>
              <w:t xml:space="preserve">, Jonathan Pham </w:t>
            </w:r>
            <w:r w:rsidRPr="00754C12">
              <w:rPr>
                <w:rFonts w:ascii="Arial" w:hAnsi="Arial" w:cs="Arial"/>
                <w:bCs/>
                <w:sz w:val="22"/>
                <w:szCs w:val="22"/>
                <w:vertAlign w:val="superscript"/>
              </w:rPr>
              <w:t>1</w:t>
            </w:r>
            <w:r w:rsidRPr="00754C12">
              <w:rPr>
                <w:rFonts w:ascii="Arial" w:hAnsi="Arial" w:cs="Arial"/>
                <w:bCs/>
                <w:sz w:val="22"/>
                <w:szCs w:val="22"/>
              </w:rPr>
              <w:t xml:space="preserve">, Don Vicendese </w:t>
            </w:r>
            <w:r w:rsidRPr="00754C12">
              <w:rPr>
                <w:rFonts w:ascii="Arial" w:hAnsi="Arial" w:cs="Arial"/>
                <w:bCs/>
                <w:sz w:val="22"/>
                <w:szCs w:val="22"/>
                <w:vertAlign w:val="superscript"/>
              </w:rPr>
              <w:t>1</w:t>
            </w:r>
            <w:r w:rsidRPr="00754C12">
              <w:rPr>
                <w:rFonts w:ascii="Arial" w:hAnsi="Arial" w:cs="Arial"/>
                <w:bCs/>
                <w:sz w:val="22"/>
                <w:szCs w:val="22"/>
              </w:rPr>
              <w:t xml:space="preserve">, Jennifer Perret </w:t>
            </w:r>
            <w:r w:rsidRPr="00754C12">
              <w:rPr>
                <w:rFonts w:ascii="Arial" w:hAnsi="Arial" w:cs="Arial"/>
                <w:bCs/>
                <w:sz w:val="22"/>
                <w:szCs w:val="22"/>
                <w:vertAlign w:val="superscript"/>
              </w:rPr>
              <w:t>1</w:t>
            </w:r>
            <w:r w:rsidRPr="00754C12">
              <w:rPr>
                <w:rFonts w:ascii="Arial" w:hAnsi="Arial" w:cs="Arial"/>
                <w:bCs/>
                <w:sz w:val="22"/>
                <w:szCs w:val="22"/>
              </w:rPr>
              <w:t xml:space="preserve">, Sabrina </w:t>
            </w:r>
            <w:proofErr w:type="spellStart"/>
            <w:r w:rsidRPr="00754C12">
              <w:rPr>
                <w:rFonts w:ascii="Arial" w:hAnsi="Arial" w:cs="Arial"/>
                <w:bCs/>
                <w:sz w:val="22"/>
                <w:szCs w:val="22"/>
              </w:rPr>
              <w:t>Idrose</w:t>
            </w:r>
            <w:proofErr w:type="spellEnd"/>
            <w:r w:rsidRPr="00754C12">
              <w:rPr>
                <w:rFonts w:ascii="Arial" w:hAnsi="Arial" w:cs="Arial"/>
                <w:bCs/>
                <w:sz w:val="22"/>
                <w:szCs w:val="22"/>
              </w:rPr>
              <w:t xml:space="preserve"> </w:t>
            </w:r>
            <w:r w:rsidRPr="00754C12">
              <w:rPr>
                <w:rFonts w:ascii="Arial" w:hAnsi="Arial" w:cs="Arial"/>
                <w:bCs/>
                <w:sz w:val="22"/>
                <w:szCs w:val="22"/>
                <w:vertAlign w:val="superscript"/>
              </w:rPr>
              <w:t>1</w:t>
            </w:r>
            <w:r w:rsidRPr="00754C12">
              <w:rPr>
                <w:rFonts w:ascii="Arial" w:hAnsi="Arial" w:cs="Arial"/>
                <w:bCs/>
                <w:sz w:val="22"/>
                <w:szCs w:val="22"/>
              </w:rPr>
              <w:t xml:space="preserve">, Caroline Lodge </w:t>
            </w:r>
            <w:r w:rsidRPr="00754C12">
              <w:rPr>
                <w:rFonts w:ascii="Arial" w:hAnsi="Arial" w:cs="Arial"/>
                <w:bCs/>
                <w:sz w:val="22"/>
                <w:szCs w:val="22"/>
                <w:vertAlign w:val="superscript"/>
              </w:rPr>
              <w:t>1</w:t>
            </w:r>
            <w:r w:rsidRPr="00754C12">
              <w:rPr>
                <w:rFonts w:ascii="Arial" w:hAnsi="Arial" w:cs="Arial"/>
                <w:bCs/>
                <w:sz w:val="22"/>
                <w:szCs w:val="22"/>
              </w:rPr>
              <w:t xml:space="preserve">, Adrian Lowe </w:t>
            </w:r>
            <w:r w:rsidRPr="00754C12">
              <w:rPr>
                <w:rFonts w:ascii="Arial" w:hAnsi="Arial" w:cs="Arial"/>
                <w:bCs/>
                <w:sz w:val="22"/>
                <w:szCs w:val="22"/>
                <w:vertAlign w:val="superscript"/>
              </w:rPr>
              <w:t>1</w:t>
            </w:r>
            <w:r w:rsidRPr="00754C12">
              <w:rPr>
                <w:rFonts w:ascii="Arial" w:hAnsi="Arial" w:cs="Arial"/>
                <w:bCs/>
                <w:sz w:val="22"/>
                <w:szCs w:val="22"/>
              </w:rPr>
              <w:t xml:space="preserve">, Garun Hamilton </w:t>
            </w:r>
            <w:r w:rsidRPr="00754C12">
              <w:rPr>
                <w:rFonts w:ascii="Arial" w:hAnsi="Arial" w:cs="Arial"/>
                <w:bCs/>
                <w:sz w:val="22"/>
                <w:szCs w:val="22"/>
                <w:vertAlign w:val="superscript"/>
              </w:rPr>
              <w:t>2</w:t>
            </w:r>
            <w:r w:rsidRPr="00754C12">
              <w:rPr>
                <w:rFonts w:ascii="Arial" w:hAnsi="Arial" w:cs="Arial"/>
                <w:bCs/>
                <w:sz w:val="22"/>
                <w:szCs w:val="22"/>
              </w:rPr>
              <w:t xml:space="preserve">, Alan James </w:t>
            </w:r>
            <w:r w:rsidRPr="00754C12">
              <w:rPr>
                <w:rFonts w:ascii="Arial" w:hAnsi="Arial" w:cs="Arial"/>
                <w:bCs/>
                <w:sz w:val="22"/>
                <w:szCs w:val="22"/>
                <w:vertAlign w:val="superscript"/>
              </w:rPr>
              <w:t>3</w:t>
            </w:r>
            <w:r w:rsidRPr="00754C12">
              <w:rPr>
                <w:rFonts w:ascii="Arial" w:hAnsi="Arial" w:cs="Arial"/>
                <w:bCs/>
                <w:sz w:val="22"/>
                <w:szCs w:val="22"/>
              </w:rPr>
              <w:t xml:space="preserve">, Paul Thomas </w:t>
            </w:r>
            <w:r w:rsidRPr="00754C12">
              <w:rPr>
                <w:rFonts w:ascii="Arial" w:hAnsi="Arial" w:cs="Arial"/>
                <w:bCs/>
                <w:sz w:val="22"/>
                <w:szCs w:val="22"/>
                <w:vertAlign w:val="superscript"/>
              </w:rPr>
              <w:t>4</w:t>
            </w:r>
            <w:r w:rsidRPr="00754C12">
              <w:rPr>
                <w:rFonts w:ascii="Arial" w:hAnsi="Arial" w:cs="Arial"/>
                <w:bCs/>
                <w:sz w:val="22"/>
                <w:szCs w:val="22"/>
              </w:rPr>
              <w:t xml:space="preserve">, Richard Wood-Baker </w:t>
            </w:r>
            <w:r w:rsidRPr="00754C12">
              <w:rPr>
                <w:rFonts w:ascii="Arial" w:hAnsi="Arial" w:cs="Arial"/>
                <w:bCs/>
                <w:sz w:val="22"/>
                <w:szCs w:val="22"/>
                <w:vertAlign w:val="superscript"/>
              </w:rPr>
              <w:t>5</w:t>
            </w:r>
            <w:r w:rsidRPr="00754C12">
              <w:rPr>
                <w:rFonts w:ascii="Arial" w:hAnsi="Arial" w:cs="Arial"/>
                <w:bCs/>
                <w:sz w:val="22"/>
                <w:szCs w:val="22"/>
              </w:rPr>
              <w:t xml:space="preserve">, Peter Frith </w:t>
            </w:r>
            <w:r w:rsidRPr="00754C12">
              <w:rPr>
                <w:rFonts w:ascii="Arial" w:hAnsi="Arial" w:cs="Arial"/>
                <w:bCs/>
                <w:sz w:val="22"/>
                <w:szCs w:val="22"/>
                <w:vertAlign w:val="superscript"/>
              </w:rPr>
              <w:t>6</w:t>
            </w:r>
            <w:r w:rsidRPr="00754C12">
              <w:rPr>
                <w:rFonts w:ascii="Arial" w:hAnsi="Arial" w:cs="Arial"/>
                <w:bCs/>
                <w:sz w:val="22"/>
                <w:szCs w:val="22"/>
              </w:rPr>
              <w:t xml:space="preserve">, Rosa Faner </w:t>
            </w:r>
            <w:r w:rsidRPr="00754C12">
              <w:rPr>
                <w:rFonts w:ascii="Arial" w:hAnsi="Arial" w:cs="Arial"/>
                <w:bCs/>
                <w:sz w:val="22"/>
                <w:szCs w:val="22"/>
                <w:vertAlign w:val="superscript"/>
              </w:rPr>
              <w:t>7</w:t>
            </w:r>
            <w:r w:rsidRPr="00754C12">
              <w:rPr>
                <w:rFonts w:ascii="Arial" w:hAnsi="Arial" w:cs="Arial"/>
                <w:bCs/>
                <w:sz w:val="22"/>
                <w:szCs w:val="22"/>
              </w:rPr>
              <w:t xml:space="preserve">, Alvar Agusti </w:t>
            </w:r>
            <w:r w:rsidR="00CD4E18" w:rsidRPr="00754C12">
              <w:rPr>
                <w:rFonts w:ascii="Arial" w:hAnsi="Arial" w:cs="Arial"/>
                <w:bCs/>
                <w:sz w:val="22"/>
                <w:szCs w:val="22"/>
                <w:vertAlign w:val="superscript"/>
              </w:rPr>
              <w:t>7</w:t>
            </w:r>
            <w:r w:rsidRPr="00754C12">
              <w:rPr>
                <w:rFonts w:ascii="Arial" w:hAnsi="Arial" w:cs="Arial"/>
                <w:bCs/>
                <w:sz w:val="22"/>
                <w:szCs w:val="22"/>
              </w:rPr>
              <w:t xml:space="preserve">, Michael Abramson </w:t>
            </w:r>
            <w:r w:rsidR="00CD4E18" w:rsidRPr="00754C12">
              <w:rPr>
                <w:rFonts w:ascii="Arial" w:hAnsi="Arial" w:cs="Arial"/>
                <w:bCs/>
                <w:sz w:val="22"/>
                <w:szCs w:val="22"/>
                <w:vertAlign w:val="superscript"/>
              </w:rPr>
              <w:t>8</w:t>
            </w:r>
            <w:r w:rsidRPr="00754C12">
              <w:rPr>
                <w:rFonts w:ascii="Arial" w:hAnsi="Arial" w:cs="Arial"/>
                <w:bCs/>
                <w:sz w:val="22"/>
                <w:szCs w:val="22"/>
              </w:rPr>
              <w:t xml:space="preserve">, </w:t>
            </w:r>
            <w:proofErr w:type="spellStart"/>
            <w:proofErr w:type="gramStart"/>
            <w:r w:rsidRPr="00754C12">
              <w:rPr>
                <w:rFonts w:ascii="Arial" w:hAnsi="Arial" w:cs="Arial"/>
                <w:bCs/>
                <w:sz w:val="22"/>
                <w:szCs w:val="22"/>
              </w:rPr>
              <w:t>E.Haydn</w:t>
            </w:r>
            <w:proofErr w:type="spellEnd"/>
            <w:proofErr w:type="gramEnd"/>
            <w:r w:rsidRPr="00754C12">
              <w:rPr>
                <w:rFonts w:ascii="Arial" w:hAnsi="Arial" w:cs="Arial"/>
                <w:bCs/>
                <w:sz w:val="22"/>
                <w:szCs w:val="22"/>
              </w:rPr>
              <w:t xml:space="preserve"> Walters </w:t>
            </w:r>
            <w:r w:rsidRPr="00754C12">
              <w:rPr>
                <w:rFonts w:ascii="Arial" w:hAnsi="Arial" w:cs="Arial"/>
                <w:bCs/>
                <w:sz w:val="22"/>
                <w:szCs w:val="22"/>
                <w:vertAlign w:val="superscript"/>
              </w:rPr>
              <w:t>1</w:t>
            </w:r>
            <w:r w:rsidRPr="00754C12">
              <w:rPr>
                <w:rFonts w:ascii="Arial" w:hAnsi="Arial" w:cs="Arial"/>
                <w:bCs/>
                <w:sz w:val="22"/>
                <w:szCs w:val="22"/>
              </w:rPr>
              <w:t xml:space="preserve">, Shyamali Dharmage </w:t>
            </w:r>
            <w:r w:rsidRPr="00754C12">
              <w:rPr>
                <w:rFonts w:ascii="Arial" w:hAnsi="Arial" w:cs="Arial"/>
                <w:bCs/>
                <w:sz w:val="22"/>
                <w:szCs w:val="22"/>
                <w:vertAlign w:val="superscript"/>
              </w:rPr>
              <w:t>1</w:t>
            </w:r>
            <w:r w:rsidRPr="00754C12">
              <w:rPr>
                <w:rFonts w:ascii="Arial" w:hAnsi="Arial" w:cs="Arial"/>
                <w:bCs/>
                <w:sz w:val="22"/>
                <w:szCs w:val="22"/>
              </w:rPr>
              <w:t>.</w:t>
            </w:r>
          </w:p>
        </w:tc>
      </w:tr>
      <w:tr w:rsidR="0093026B" w:rsidRPr="00002FFD" w14:paraId="42382644" w14:textId="77777777">
        <w:trPr>
          <w:trHeight w:val="136"/>
          <w:jc w:val="center"/>
        </w:trPr>
        <w:tc>
          <w:tcPr>
            <w:tcW w:w="5000" w:type="pct"/>
            <w:shd w:val="clear" w:color="auto" w:fill="auto"/>
          </w:tcPr>
          <w:p w14:paraId="1BB6C2F7" w14:textId="77777777" w:rsidR="0093026B" w:rsidRPr="00754C12" w:rsidRDefault="00632DE0">
            <w:pPr>
              <w:pStyle w:val="Maintext"/>
              <w:spacing w:before="0" w:line="240" w:lineRule="auto"/>
              <w:rPr>
                <w:rFonts w:ascii="Arial" w:hAnsi="Arial" w:cs="Arial"/>
                <w:i/>
                <w:sz w:val="22"/>
              </w:rPr>
            </w:pPr>
            <w:r w:rsidRPr="00754C12">
              <w:rPr>
                <w:rFonts w:ascii="Arial" w:hAnsi="Arial" w:cs="Arial"/>
                <w:i/>
                <w:sz w:val="22"/>
                <w:vertAlign w:val="superscript"/>
              </w:rPr>
              <w:t>1</w:t>
            </w:r>
            <w:r w:rsidRPr="00754C12">
              <w:rPr>
                <w:rFonts w:ascii="Arial" w:hAnsi="Arial" w:cs="Arial"/>
                <w:i/>
                <w:sz w:val="22"/>
              </w:rPr>
              <w:t xml:space="preserve"> Allergy and Lung Health Unit, Centre for Epidemiology and Biostatistics, Melbourne School of Population and Global Health, The University of Melbourne, Melbourne, VIC, Australia. </w:t>
            </w:r>
          </w:p>
          <w:p w14:paraId="4D622FDB" w14:textId="77777777" w:rsidR="0093026B" w:rsidRPr="00754C12" w:rsidRDefault="00632DE0">
            <w:pPr>
              <w:pStyle w:val="Maintext"/>
              <w:spacing w:before="0" w:line="240" w:lineRule="auto"/>
              <w:rPr>
                <w:rFonts w:ascii="Arial" w:hAnsi="Arial" w:cs="Arial"/>
                <w:i/>
                <w:sz w:val="22"/>
              </w:rPr>
            </w:pPr>
            <w:r w:rsidRPr="00754C12">
              <w:rPr>
                <w:rFonts w:ascii="Arial" w:hAnsi="Arial" w:cs="Arial"/>
                <w:i/>
                <w:sz w:val="22"/>
                <w:vertAlign w:val="superscript"/>
              </w:rPr>
              <w:t xml:space="preserve">2 </w:t>
            </w:r>
            <w:r w:rsidRPr="00754C12">
              <w:rPr>
                <w:rFonts w:ascii="Arial" w:hAnsi="Arial" w:cs="Arial"/>
                <w:i/>
                <w:sz w:val="22"/>
              </w:rPr>
              <w:t>Department of Lung, Sleep, Allergy &amp; Immunology, Monash Health, Clayton, VIC Australia.</w:t>
            </w:r>
          </w:p>
          <w:p w14:paraId="4AD2D241" w14:textId="77777777" w:rsidR="0093026B" w:rsidRPr="00754C12" w:rsidRDefault="00632DE0">
            <w:pPr>
              <w:pStyle w:val="Maintext"/>
              <w:spacing w:before="0" w:line="240" w:lineRule="auto"/>
              <w:rPr>
                <w:rFonts w:ascii="Arial" w:hAnsi="Arial" w:cs="Arial"/>
                <w:i/>
                <w:sz w:val="22"/>
              </w:rPr>
            </w:pPr>
            <w:r w:rsidRPr="00754C12">
              <w:rPr>
                <w:rFonts w:ascii="Arial" w:hAnsi="Arial" w:cs="Arial"/>
                <w:i/>
                <w:sz w:val="22"/>
                <w:vertAlign w:val="superscript"/>
              </w:rPr>
              <w:t>3</w:t>
            </w:r>
            <w:r w:rsidR="00CD4E18" w:rsidRPr="00754C12">
              <w:rPr>
                <w:rFonts w:ascii="Arial" w:hAnsi="Arial" w:cs="Arial"/>
                <w:i/>
                <w:sz w:val="22"/>
              </w:rPr>
              <w:t xml:space="preserve"> </w:t>
            </w:r>
            <w:r w:rsidR="00CD4E18" w:rsidRPr="00754C12">
              <w:rPr>
                <w:rFonts w:ascii="Arial" w:hAnsi="Arial" w:cs="Arial"/>
                <w:i/>
                <w:sz w:val="22"/>
                <w:shd w:val="clear" w:color="auto" w:fill="FFFFFF"/>
              </w:rPr>
              <w:t>Department of Pulmonary Physiology and Sleep Medicine, Sir Charles Gairdner Hospital, Western Australia</w:t>
            </w:r>
          </w:p>
          <w:p w14:paraId="14D8DE75" w14:textId="77777777" w:rsidR="0093026B" w:rsidRPr="00754C12" w:rsidRDefault="00632DE0">
            <w:pPr>
              <w:pStyle w:val="Maintext"/>
              <w:spacing w:before="0" w:line="240" w:lineRule="auto"/>
              <w:rPr>
                <w:rFonts w:ascii="Arial" w:hAnsi="Arial" w:cs="Arial"/>
                <w:i/>
                <w:sz w:val="22"/>
              </w:rPr>
            </w:pPr>
            <w:r w:rsidRPr="00754C12">
              <w:rPr>
                <w:rFonts w:ascii="Arial" w:hAnsi="Arial" w:cs="Arial"/>
                <w:i/>
                <w:sz w:val="22"/>
                <w:vertAlign w:val="superscript"/>
              </w:rPr>
              <w:t xml:space="preserve">4 </w:t>
            </w:r>
            <w:r w:rsidR="00CD4E18" w:rsidRPr="00754C12">
              <w:rPr>
                <w:rFonts w:ascii="Arial" w:hAnsi="Arial" w:cs="Arial"/>
                <w:bCs/>
                <w:i/>
                <w:sz w:val="22"/>
                <w:lang w:val="en-GB"/>
              </w:rPr>
              <w:t>Inflammation and Infection Research, Faculty of Medicine, University of New South Wales, NSW, Australia</w:t>
            </w:r>
          </w:p>
          <w:p w14:paraId="5EDAF5FC" w14:textId="77777777" w:rsidR="0093026B" w:rsidRPr="00754C12" w:rsidRDefault="00632DE0">
            <w:pPr>
              <w:pStyle w:val="Maintext"/>
              <w:spacing w:before="0" w:line="240" w:lineRule="auto"/>
              <w:rPr>
                <w:rFonts w:ascii="Arial" w:hAnsi="Arial" w:cs="Arial"/>
                <w:i/>
                <w:sz w:val="22"/>
              </w:rPr>
            </w:pPr>
            <w:r w:rsidRPr="00754C12">
              <w:rPr>
                <w:rFonts w:ascii="Arial" w:hAnsi="Arial" w:cs="Arial"/>
                <w:i/>
                <w:sz w:val="22"/>
                <w:vertAlign w:val="superscript"/>
              </w:rPr>
              <w:t xml:space="preserve">5 </w:t>
            </w:r>
            <w:r w:rsidR="00CD4E18" w:rsidRPr="00754C12">
              <w:rPr>
                <w:rFonts w:ascii="Arial" w:hAnsi="Arial" w:cs="Arial"/>
                <w:bCs/>
                <w:i/>
                <w:sz w:val="22"/>
                <w:lang w:val="en-GB"/>
              </w:rPr>
              <w:t>School of Medicine, University of Tasmania, Hobart, Tasmania</w:t>
            </w:r>
          </w:p>
          <w:p w14:paraId="111BA954" w14:textId="77777777" w:rsidR="00CD4E18" w:rsidRPr="00754C12" w:rsidRDefault="00632DE0" w:rsidP="00CD4E18">
            <w:pPr>
              <w:pStyle w:val="CuerpoA"/>
              <w:rPr>
                <w:rFonts w:cs="Arial"/>
                <w:bCs/>
                <w:i/>
                <w:sz w:val="22"/>
                <w:szCs w:val="22"/>
                <w:lang w:val="en-GB"/>
              </w:rPr>
            </w:pPr>
            <w:r w:rsidRPr="00754C12">
              <w:rPr>
                <w:rFonts w:cs="Arial"/>
                <w:i/>
                <w:sz w:val="22"/>
                <w:szCs w:val="22"/>
                <w:vertAlign w:val="superscript"/>
              </w:rPr>
              <w:t xml:space="preserve">6 </w:t>
            </w:r>
            <w:r w:rsidR="00CD4E18" w:rsidRPr="00754C12">
              <w:rPr>
                <w:rFonts w:cs="Arial"/>
                <w:bCs/>
                <w:i/>
                <w:sz w:val="22"/>
                <w:szCs w:val="22"/>
                <w:lang w:val="en-GB"/>
              </w:rPr>
              <w:t>College of Medicine and Public Health, Flinders University, Adelaide, Australia</w:t>
            </w:r>
          </w:p>
          <w:p w14:paraId="6D3BBAC1" w14:textId="77777777" w:rsidR="0093026B" w:rsidRPr="00754C12" w:rsidRDefault="00632DE0">
            <w:pPr>
              <w:pStyle w:val="Maintext"/>
              <w:spacing w:before="0" w:line="240" w:lineRule="auto"/>
              <w:rPr>
                <w:rFonts w:ascii="Arial" w:hAnsi="Arial" w:cs="Arial"/>
                <w:i/>
                <w:sz w:val="22"/>
              </w:rPr>
            </w:pPr>
            <w:r w:rsidRPr="00754C12">
              <w:rPr>
                <w:rFonts w:ascii="Arial" w:hAnsi="Arial" w:cs="Arial"/>
                <w:i/>
                <w:sz w:val="22"/>
                <w:vertAlign w:val="superscript"/>
              </w:rPr>
              <w:t>7</w:t>
            </w:r>
            <w:r w:rsidRPr="00754C12">
              <w:rPr>
                <w:rFonts w:ascii="Arial" w:hAnsi="Arial" w:cs="Arial"/>
                <w:i/>
                <w:sz w:val="22"/>
              </w:rPr>
              <w:t xml:space="preserve"> </w:t>
            </w:r>
            <w:r w:rsidR="00CD4E18" w:rsidRPr="00754C12">
              <w:rPr>
                <w:rFonts w:ascii="Arial" w:hAnsi="Arial" w:cs="Arial"/>
                <w:i/>
                <w:sz w:val="22"/>
                <w:lang w:val="en-GB"/>
              </w:rPr>
              <w:t xml:space="preserve">Centro de </w:t>
            </w:r>
            <w:proofErr w:type="spellStart"/>
            <w:r w:rsidR="00CD4E18" w:rsidRPr="00754C12">
              <w:rPr>
                <w:rFonts w:ascii="Arial" w:hAnsi="Arial" w:cs="Arial"/>
                <w:i/>
                <w:sz w:val="22"/>
                <w:lang w:val="en-GB"/>
              </w:rPr>
              <w:t>Investigación</w:t>
            </w:r>
            <w:proofErr w:type="spellEnd"/>
            <w:r w:rsidR="00CD4E18" w:rsidRPr="00754C12">
              <w:rPr>
                <w:rFonts w:ascii="Arial" w:hAnsi="Arial" w:cs="Arial"/>
                <w:i/>
                <w:sz w:val="22"/>
                <w:lang w:val="en-GB"/>
              </w:rPr>
              <w:t xml:space="preserve"> </w:t>
            </w:r>
            <w:proofErr w:type="spellStart"/>
            <w:r w:rsidR="00CD4E18" w:rsidRPr="00754C12">
              <w:rPr>
                <w:rFonts w:ascii="Arial" w:hAnsi="Arial" w:cs="Arial"/>
                <w:i/>
                <w:sz w:val="22"/>
                <w:lang w:val="en-GB"/>
              </w:rPr>
              <w:t>Biomédica</w:t>
            </w:r>
            <w:proofErr w:type="spellEnd"/>
            <w:r w:rsidR="00CD4E18" w:rsidRPr="00754C12">
              <w:rPr>
                <w:rFonts w:ascii="Arial" w:hAnsi="Arial" w:cs="Arial"/>
                <w:i/>
                <w:sz w:val="22"/>
                <w:lang w:val="en-GB"/>
              </w:rPr>
              <w:t xml:space="preserve"> </w:t>
            </w:r>
            <w:proofErr w:type="spellStart"/>
            <w:r w:rsidR="00CD4E18" w:rsidRPr="00754C12">
              <w:rPr>
                <w:rFonts w:ascii="Arial" w:hAnsi="Arial" w:cs="Arial"/>
                <w:i/>
                <w:sz w:val="22"/>
                <w:lang w:val="en-GB"/>
              </w:rPr>
              <w:t>en</w:t>
            </w:r>
            <w:proofErr w:type="spellEnd"/>
            <w:r w:rsidR="00CD4E18" w:rsidRPr="00754C12">
              <w:rPr>
                <w:rFonts w:ascii="Arial" w:hAnsi="Arial" w:cs="Arial"/>
                <w:i/>
                <w:sz w:val="22"/>
                <w:lang w:val="en-GB"/>
              </w:rPr>
              <w:t xml:space="preserve"> Red </w:t>
            </w:r>
            <w:proofErr w:type="spellStart"/>
            <w:r w:rsidR="00CD4E18" w:rsidRPr="00754C12">
              <w:rPr>
                <w:rFonts w:ascii="Arial" w:hAnsi="Arial" w:cs="Arial"/>
                <w:i/>
                <w:sz w:val="22"/>
                <w:lang w:val="en-GB"/>
              </w:rPr>
              <w:t>Enfermedades</w:t>
            </w:r>
            <w:proofErr w:type="spellEnd"/>
            <w:r w:rsidR="00CD4E18" w:rsidRPr="00754C12">
              <w:rPr>
                <w:rFonts w:ascii="Arial" w:hAnsi="Arial" w:cs="Arial"/>
                <w:i/>
                <w:sz w:val="22"/>
                <w:lang w:val="en-GB"/>
              </w:rPr>
              <w:t xml:space="preserve"> </w:t>
            </w:r>
            <w:proofErr w:type="spellStart"/>
            <w:r w:rsidR="00CD4E18" w:rsidRPr="00754C12">
              <w:rPr>
                <w:rFonts w:ascii="Arial" w:hAnsi="Arial" w:cs="Arial"/>
                <w:i/>
                <w:sz w:val="22"/>
                <w:lang w:val="en-GB"/>
              </w:rPr>
              <w:t>Respiratorias</w:t>
            </w:r>
            <w:proofErr w:type="spellEnd"/>
            <w:r w:rsidR="00CD4E18" w:rsidRPr="00754C12">
              <w:rPr>
                <w:rFonts w:ascii="Arial" w:hAnsi="Arial" w:cs="Arial"/>
                <w:i/>
                <w:sz w:val="22"/>
                <w:lang w:val="en-GB"/>
              </w:rPr>
              <w:t xml:space="preserve"> (CIBERES), Spain.</w:t>
            </w:r>
          </w:p>
          <w:p w14:paraId="277863A5" w14:textId="77777777" w:rsidR="00CD4E18" w:rsidRPr="00754C12" w:rsidRDefault="00632DE0" w:rsidP="00CD4E18">
            <w:pPr>
              <w:pStyle w:val="CuerpoA"/>
              <w:rPr>
                <w:rFonts w:cs="Arial"/>
                <w:bCs/>
                <w:i/>
                <w:sz w:val="22"/>
                <w:szCs w:val="22"/>
                <w:lang w:val="en-GB"/>
              </w:rPr>
            </w:pPr>
            <w:r w:rsidRPr="00754C12">
              <w:rPr>
                <w:rFonts w:cs="Arial"/>
                <w:i/>
                <w:sz w:val="22"/>
                <w:szCs w:val="22"/>
                <w:vertAlign w:val="superscript"/>
              </w:rPr>
              <w:t xml:space="preserve">8 </w:t>
            </w:r>
            <w:r w:rsidR="00CD4E18" w:rsidRPr="00754C12">
              <w:rPr>
                <w:rFonts w:cs="Arial"/>
                <w:bCs/>
                <w:i/>
                <w:sz w:val="22"/>
                <w:szCs w:val="22"/>
                <w:lang w:val="en-GB"/>
              </w:rPr>
              <w:t>School of Public Health &amp; Preventive Medicine, Monash University, Melbourne, Vic, Australia</w:t>
            </w:r>
          </w:p>
          <w:p w14:paraId="50936936" w14:textId="77777777" w:rsidR="0093026B" w:rsidRPr="00754C12" w:rsidRDefault="0093026B">
            <w:pPr>
              <w:pStyle w:val="Maintext"/>
              <w:spacing w:before="0" w:line="240" w:lineRule="auto"/>
              <w:rPr>
                <w:rFonts w:ascii="Arial" w:hAnsi="Arial" w:cs="Arial"/>
                <w:i/>
                <w:sz w:val="22"/>
              </w:rPr>
            </w:pPr>
          </w:p>
        </w:tc>
      </w:tr>
      <w:tr w:rsidR="0093026B" w:rsidRPr="00002FFD" w14:paraId="0B8D7E14" w14:textId="77777777">
        <w:trPr>
          <w:trHeight w:hRule="exact" w:val="8657"/>
          <w:jc w:val="center"/>
        </w:trPr>
        <w:tc>
          <w:tcPr>
            <w:tcW w:w="5000" w:type="pct"/>
            <w:shd w:val="clear" w:color="auto" w:fill="auto"/>
          </w:tcPr>
          <w:p w14:paraId="7F20DCE2" w14:textId="77777777" w:rsidR="00632DE0" w:rsidRPr="00754C12" w:rsidRDefault="00632DE0" w:rsidP="00632DE0">
            <w:pPr>
              <w:rPr>
                <w:rFonts w:ascii="Arial" w:hAnsi="Arial" w:cs="Arial"/>
                <w:b/>
                <w:bCs/>
                <w:sz w:val="22"/>
                <w:szCs w:val="22"/>
              </w:rPr>
            </w:pPr>
            <w:r w:rsidRPr="00754C12">
              <w:rPr>
                <w:rFonts w:ascii="Arial" w:hAnsi="Arial" w:cs="Arial"/>
                <w:b/>
                <w:bCs/>
                <w:sz w:val="22"/>
                <w:szCs w:val="22"/>
              </w:rPr>
              <w:t>Background</w:t>
            </w:r>
            <w:r w:rsidR="00CD4E18" w:rsidRPr="00754C12">
              <w:rPr>
                <w:rFonts w:ascii="Arial" w:hAnsi="Arial" w:cs="Arial"/>
                <w:b/>
                <w:bCs/>
                <w:sz w:val="22"/>
                <w:szCs w:val="22"/>
              </w:rPr>
              <w:t>/aim</w:t>
            </w:r>
          </w:p>
          <w:p w14:paraId="2AC6D6AB" w14:textId="77777777" w:rsidR="00632DE0" w:rsidRPr="00754C12" w:rsidRDefault="00093D85" w:rsidP="00632DE0">
            <w:pPr>
              <w:pStyle w:val="Default"/>
              <w:rPr>
                <w:sz w:val="22"/>
                <w:szCs w:val="22"/>
              </w:rPr>
            </w:pPr>
            <w:r w:rsidRPr="00754C12">
              <w:rPr>
                <w:sz w:val="22"/>
                <w:szCs w:val="22"/>
              </w:rPr>
              <w:t>Lifelong l</w:t>
            </w:r>
            <w:r w:rsidR="00632DE0" w:rsidRPr="00754C12">
              <w:rPr>
                <w:sz w:val="22"/>
                <w:szCs w:val="22"/>
              </w:rPr>
              <w:t xml:space="preserve">ung function trajectories may help identify a pre-clinical phase of COPD (Pre-COPD) and future COPD risk and prognosis. However, identifying lung function trajectories in clinical settings is not currently feasible, as repeated spirometry from childhood is rarely available. We aimed to investigate the ability of blood biomarkers, to differentiate lifetime obstructive lung function trajectories (i.e. detecting suboptimal trajectories and differentiating a relatively stable trajectory from progressive ones) in middle-aged Australians.  </w:t>
            </w:r>
          </w:p>
          <w:p w14:paraId="29262EAC" w14:textId="77777777" w:rsidR="00632DE0" w:rsidRPr="00754C12" w:rsidRDefault="00632DE0" w:rsidP="00632DE0">
            <w:pPr>
              <w:rPr>
                <w:rFonts w:ascii="Arial" w:hAnsi="Arial" w:cs="Arial"/>
                <w:b/>
                <w:bCs/>
                <w:sz w:val="22"/>
                <w:szCs w:val="22"/>
              </w:rPr>
            </w:pPr>
            <w:r w:rsidRPr="00754C12">
              <w:rPr>
                <w:rFonts w:ascii="Arial" w:hAnsi="Arial" w:cs="Arial"/>
                <w:b/>
                <w:bCs/>
                <w:sz w:val="22"/>
                <w:szCs w:val="22"/>
              </w:rPr>
              <w:t>Methods</w:t>
            </w:r>
          </w:p>
          <w:p w14:paraId="38D93A14" w14:textId="77777777" w:rsidR="00632DE0" w:rsidRPr="00754C12" w:rsidRDefault="00632DE0" w:rsidP="00632DE0">
            <w:pPr>
              <w:rPr>
                <w:rFonts w:ascii="Arial" w:hAnsi="Arial" w:cs="Arial"/>
                <w:bCs/>
                <w:sz w:val="22"/>
                <w:szCs w:val="22"/>
              </w:rPr>
            </w:pPr>
            <w:r w:rsidRPr="00754C12">
              <w:rPr>
                <w:rFonts w:ascii="Arial" w:hAnsi="Arial" w:cs="Arial"/>
                <w:bCs/>
                <w:sz w:val="22"/>
                <w:szCs w:val="22"/>
              </w:rPr>
              <w:t xml:space="preserve">Lifetime </w:t>
            </w:r>
            <w:r w:rsidRPr="00754C12">
              <w:rPr>
                <w:rFonts w:ascii="Arial" w:hAnsi="Arial" w:cs="Arial"/>
                <w:sz w:val="22"/>
                <w:szCs w:val="22"/>
              </w:rPr>
              <w:t>FEV</w:t>
            </w:r>
            <w:r w:rsidRPr="00754C12">
              <w:rPr>
                <w:rFonts w:ascii="Arial" w:hAnsi="Arial" w:cs="Arial"/>
                <w:sz w:val="22"/>
                <w:szCs w:val="22"/>
                <w:vertAlign w:val="subscript"/>
              </w:rPr>
              <w:t>1</w:t>
            </w:r>
            <w:r w:rsidRPr="00754C12">
              <w:rPr>
                <w:rFonts w:ascii="Arial" w:hAnsi="Arial" w:cs="Arial"/>
                <w:sz w:val="22"/>
                <w:szCs w:val="22"/>
              </w:rPr>
              <w:t xml:space="preserve">/FVC trajectories were derived using Group-Based Trajectory Modelling (n=2442) using </w:t>
            </w:r>
            <w:r w:rsidRPr="00754C12">
              <w:rPr>
                <w:rFonts w:ascii="Arial" w:hAnsi="Arial" w:cs="Arial"/>
                <w:bCs/>
                <w:sz w:val="22"/>
                <w:szCs w:val="22"/>
              </w:rPr>
              <w:t xml:space="preserve">the Tasmanian Longitudinal Health Study (TAHS) lung function data from ages 7 to 53 years. </w:t>
            </w:r>
            <w:r w:rsidRPr="00754C12">
              <w:rPr>
                <w:rFonts w:ascii="Arial" w:hAnsi="Arial" w:cs="Arial"/>
                <w:sz w:val="22"/>
                <w:szCs w:val="22"/>
              </w:rPr>
              <w:t xml:space="preserve">Targeted biomarkers (CC16, </w:t>
            </w:r>
            <w:proofErr w:type="spellStart"/>
            <w:r w:rsidRPr="00754C12">
              <w:rPr>
                <w:rFonts w:ascii="Arial" w:hAnsi="Arial" w:cs="Arial"/>
                <w:sz w:val="22"/>
                <w:szCs w:val="22"/>
              </w:rPr>
              <w:t>sRAGE</w:t>
            </w:r>
            <w:proofErr w:type="spellEnd"/>
            <w:r w:rsidRPr="00754C12">
              <w:rPr>
                <w:rFonts w:ascii="Arial" w:hAnsi="Arial" w:cs="Arial"/>
                <w:sz w:val="22"/>
                <w:szCs w:val="22"/>
              </w:rPr>
              <w:t>, CRP, ECP, SPD, Fibrinogen and cytokines from immunological pathways) were assessed at ages 45 and 53 years. Classification And Regression Tree (CART) analysis was used to investigate the ability of biomarkers to differentiate between FEV</w:t>
            </w:r>
            <w:r w:rsidRPr="00754C12">
              <w:rPr>
                <w:rFonts w:ascii="Arial" w:hAnsi="Arial" w:cs="Arial"/>
                <w:sz w:val="22"/>
                <w:szCs w:val="22"/>
                <w:vertAlign w:val="subscript"/>
              </w:rPr>
              <w:t>1</w:t>
            </w:r>
            <w:r w:rsidRPr="00754C12">
              <w:rPr>
                <w:rFonts w:ascii="Arial" w:hAnsi="Arial" w:cs="Arial"/>
                <w:sz w:val="22"/>
                <w:szCs w:val="22"/>
              </w:rPr>
              <w:t>/FVC trajectories, and a risk score chart was developed.</w:t>
            </w:r>
          </w:p>
          <w:p w14:paraId="0095D096" w14:textId="77777777" w:rsidR="00632DE0" w:rsidRPr="00754C12" w:rsidRDefault="00632DE0" w:rsidP="00632DE0">
            <w:pPr>
              <w:rPr>
                <w:rFonts w:ascii="Arial" w:hAnsi="Arial" w:cs="Arial"/>
                <w:b/>
                <w:bCs/>
                <w:sz w:val="22"/>
                <w:szCs w:val="22"/>
              </w:rPr>
            </w:pPr>
            <w:r w:rsidRPr="00754C12">
              <w:rPr>
                <w:rFonts w:ascii="Arial" w:hAnsi="Arial" w:cs="Arial"/>
                <w:b/>
                <w:bCs/>
                <w:sz w:val="22"/>
                <w:szCs w:val="22"/>
              </w:rPr>
              <w:t>Results</w:t>
            </w:r>
          </w:p>
          <w:p w14:paraId="0E6FAA44" w14:textId="77777777" w:rsidR="00632DE0" w:rsidRPr="00754C12" w:rsidRDefault="00632DE0" w:rsidP="00632DE0">
            <w:pPr>
              <w:rPr>
                <w:rFonts w:ascii="Arial" w:hAnsi="Arial" w:cs="Arial"/>
                <w:sz w:val="22"/>
                <w:szCs w:val="22"/>
              </w:rPr>
            </w:pPr>
            <w:r w:rsidRPr="00754C12">
              <w:rPr>
                <w:rFonts w:ascii="Arial" w:hAnsi="Arial" w:cs="Arial"/>
                <w:sz w:val="22"/>
                <w:szCs w:val="22"/>
              </w:rPr>
              <w:t>From the six FEV</w:t>
            </w:r>
            <w:r w:rsidRPr="00754C12">
              <w:rPr>
                <w:rFonts w:ascii="Arial" w:hAnsi="Arial" w:cs="Arial"/>
                <w:sz w:val="22"/>
                <w:szCs w:val="22"/>
                <w:vertAlign w:val="subscript"/>
              </w:rPr>
              <w:t>1</w:t>
            </w:r>
            <w:r w:rsidRPr="00754C12">
              <w:rPr>
                <w:rFonts w:ascii="Arial" w:hAnsi="Arial" w:cs="Arial"/>
                <w:sz w:val="22"/>
                <w:szCs w:val="22"/>
              </w:rPr>
              <w:t xml:space="preserve">/FVC trajectories, all three obstructive trajectories (“Early low-rapid decline”, “Early normal-rapid decline” and “Early low-normal decline”) were at increased risk of COPD at 53 years. CC16, </w:t>
            </w:r>
            <w:proofErr w:type="spellStart"/>
            <w:r w:rsidRPr="00754C12">
              <w:rPr>
                <w:rFonts w:ascii="Arial" w:hAnsi="Arial" w:cs="Arial"/>
                <w:sz w:val="22"/>
                <w:szCs w:val="22"/>
              </w:rPr>
              <w:t>sRAGE</w:t>
            </w:r>
            <w:proofErr w:type="spellEnd"/>
            <w:r w:rsidRPr="00754C12">
              <w:rPr>
                <w:rFonts w:ascii="Arial" w:hAnsi="Arial" w:cs="Arial"/>
                <w:sz w:val="22"/>
                <w:szCs w:val="22"/>
              </w:rPr>
              <w:t xml:space="preserve">, SPD and cytokine levels including IL-17a, IL-5 and IL-10 significantly differed between the three obstructive trajectories and the normal trajectory. Within the obstructive trajectories, these biomarkers also differentiated progressive (rapid decline) trajectories from relatively stable ones (normal decline). Different combinations of these biomarkers that predicted probabilities of different obstructive trajectories were identified and translated into a risk score chart that </w:t>
            </w:r>
            <w:r w:rsidR="00E4235C" w:rsidRPr="00754C12">
              <w:rPr>
                <w:rFonts w:ascii="Arial" w:hAnsi="Arial" w:cs="Arial"/>
                <w:sz w:val="22"/>
                <w:szCs w:val="22"/>
              </w:rPr>
              <w:t xml:space="preserve">can be used to </w:t>
            </w:r>
            <w:r w:rsidRPr="00754C12">
              <w:rPr>
                <w:rFonts w:ascii="Arial" w:hAnsi="Arial" w:cs="Arial"/>
                <w:sz w:val="22"/>
                <w:szCs w:val="22"/>
              </w:rPr>
              <w:t xml:space="preserve">differentiate between rapid decline and normal decline obstructive trajectories. </w:t>
            </w:r>
          </w:p>
          <w:p w14:paraId="6CE3A6C7" w14:textId="77777777" w:rsidR="00632DE0" w:rsidRPr="00754C12" w:rsidRDefault="00632DE0" w:rsidP="00632DE0">
            <w:pPr>
              <w:rPr>
                <w:rFonts w:ascii="Arial" w:hAnsi="Arial" w:cs="Arial"/>
                <w:b/>
                <w:bCs/>
                <w:sz w:val="22"/>
                <w:szCs w:val="22"/>
              </w:rPr>
            </w:pPr>
            <w:r w:rsidRPr="00754C12">
              <w:rPr>
                <w:rFonts w:ascii="Arial" w:hAnsi="Arial" w:cs="Arial"/>
                <w:b/>
                <w:bCs/>
                <w:sz w:val="22"/>
                <w:szCs w:val="22"/>
              </w:rPr>
              <w:t>Conclusions</w:t>
            </w:r>
          </w:p>
          <w:p w14:paraId="74820ED9" w14:textId="77777777" w:rsidR="00632DE0" w:rsidRPr="00754C12" w:rsidRDefault="00632DE0" w:rsidP="00632DE0">
            <w:pPr>
              <w:rPr>
                <w:rFonts w:ascii="Arial" w:hAnsi="Arial" w:cs="Arial"/>
                <w:sz w:val="22"/>
                <w:szCs w:val="22"/>
              </w:rPr>
            </w:pPr>
            <w:r w:rsidRPr="00754C12">
              <w:rPr>
                <w:rFonts w:ascii="Arial" w:hAnsi="Arial" w:cs="Arial"/>
                <w:sz w:val="22"/>
                <w:szCs w:val="22"/>
              </w:rPr>
              <w:t>Using a novel approach, this world-first study showed that common biomarkers, when assessed in middle age</w:t>
            </w:r>
            <w:r w:rsidR="00093D85" w:rsidRPr="00754C12">
              <w:rPr>
                <w:rFonts w:ascii="Arial" w:hAnsi="Arial" w:cs="Arial"/>
                <w:sz w:val="22"/>
                <w:szCs w:val="22"/>
              </w:rPr>
              <w:t>,</w:t>
            </w:r>
            <w:r w:rsidRPr="00754C12">
              <w:rPr>
                <w:rFonts w:ascii="Arial" w:hAnsi="Arial" w:cs="Arial"/>
                <w:sz w:val="22"/>
                <w:szCs w:val="22"/>
              </w:rPr>
              <w:t xml:space="preserve"> were able to differentiate the lifetime rapidly progressive obstructive trajectories. Algorithms based on biomarkers and clinical information should now be developed for use in clinical practice to screen and optimise management of both Pre-COPD and COPD. </w:t>
            </w:r>
          </w:p>
          <w:p w14:paraId="3C80884E" w14:textId="77777777" w:rsidR="0093026B" w:rsidRPr="00754C12" w:rsidRDefault="0093026B">
            <w:pPr>
              <w:pStyle w:val="Pa12"/>
              <w:rPr>
                <w:rStyle w:val="A4"/>
                <w:b/>
                <w:bCs/>
              </w:rPr>
            </w:pPr>
          </w:p>
          <w:p w14:paraId="29F9DA59" w14:textId="77777777" w:rsidR="0093026B" w:rsidRPr="00754C12" w:rsidRDefault="00632DE0">
            <w:pPr>
              <w:pStyle w:val="Pa12"/>
              <w:rPr>
                <w:rStyle w:val="A4"/>
                <w:color w:val="auto"/>
              </w:rPr>
            </w:pPr>
            <w:r w:rsidRPr="00754C12">
              <w:rPr>
                <w:rStyle w:val="A4"/>
                <w:b/>
                <w:bCs/>
              </w:rPr>
              <w:t xml:space="preserve">Grant Support: </w:t>
            </w:r>
            <w:r w:rsidRPr="00754C12">
              <w:rPr>
                <w:rStyle w:val="A4"/>
              </w:rPr>
              <w:t>NHMRC</w:t>
            </w:r>
            <w:r w:rsidR="007C7BF4" w:rsidRPr="00754C12">
              <w:rPr>
                <w:rStyle w:val="A4"/>
              </w:rPr>
              <w:t>; GSK</w:t>
            </w:r>
            <w:r w:rsidR="00F779C6" w:rsidRPr="00754C12">
              <w:rPr>
                <w:rStyle w:val="A4"/>
              </w:rPr>
              <w:t>; University of Melbourne</w:t>
            </w:r>
          </w:p>
          <w:p w14:paraId="713A6324" w14:textId="77777777" w:rsidR="0093026B" w:rsidRPr="00754C12" w:rsidRDefault="0093026B">
            <w:pPr>
              <w:pStyle w:val="Default"/>
              <w:rPr>
                <w:rStyle w:val="A4"/>
                <w:bCs/>
              </w:rPr>
            </w:pPr>
          </w:p>
          <w:p w14:paraId="67FA61F9" w14:textId="77777777" w:rsidR="0093026B" w:rsidRPr="00754C12" w:rsidRDefault="00632DE0">
            <w:pPr>
              <w:pStyle w:val="Default"/>
              <w:rPr>
                <w:sz w:val="22"/>
                <w:szCs w:val="22"/>
                <w:lang w:val="en-US" w:eastAsia="en-GB"/>
              </w:rPr>
            </w:pPr>
            <w:r w:rsidRPr="00754C12">
              <w:rPr>
                <w:sz w:val="22"/>
                <w:szCs w:val="22"/>
                <w:lang w:val="en-US" w:eastAsia="en-GB"/>
              </w:rPr>
              <w:br/>
            </w:r>
            <w:r w:rsidRPr="00754C12">
              <w:rPr>
                <w:sz w:val="22"/>
                <w:szCs w:val="22"/>
                <w:lang w:val="en-US" w:eastAsia="en-GB"/>
              </w:rPr>
              <w:br/>
            </w:r>
            <w:r w:rsidRPr="00754C12">
              <w:rPr>
                <w:sz w:val="22"/>
                <w:szCs w:val="22"/>
                <w:lang w:val="en-US" w:eastAsia="en-GB"/>
              </w:rPr>
              <w:br/>
            </w:r>
            <w:r w:rsidRPr="00754C12">
              <w:rPr>
                <w:sz w:val="22"/>
                <w:szCs w:val="22"/>
                <w:lang w:val="en-US" w:eastAsia="en-GB"/>
              </w:rPr>
              <w:br/>
            </w:r>
            <w:r w:rsidRPr="00754C12">
              <w:rPr>
                <w:sz w:val="22"/>
                <w:szCs w:val="22"/>
                <w:lang w:val="en-US" w:eastAsia="en-GB"/>
              </w:rPr>
              <w:br/>
            </w:r>
            <w:r w:rsidRPr="00754C12">
              <w:rPr>
                <w:sz w:val="22"/>
                <w:szCs w:val="22"/>
                <w:lang w:val="en-US" w:eastAsia="en-GB"/>
              </w:rPr>
              <w:br/>
            </w:r>
            <w:r w:rsidRPr="00754C12">
              <w:rPr>
                <w:sz w:val="22"/>
                <w:szCs w:val="22"/>
                <w:lang w:val="en-US" w:eastAsia="en-GB"/>
              </w:rPr>
              <w:br/>
            </w:r>
            <w:r w:rsidRPr="00754C12">
              <w:rPr>
                <w:sz w:val="22"/>
                <w:szCs w:val="22"/>
                <w:lang w:val="en-US" w:eastAsia="en-GB"/>
              </w:rPr>
              <w:br/>
            </w:r>
            <w:r w:rsidRPr="00754C12">
              <w:rPr>
                <w:sz w:val="22"/>
                <w:szCs w:val="22"/>
                <w:lang w:val="en-US" w:eastAsia="en-GB"/>
              </w:rPr>
              <w:br/>
            </w:r>
            <w:r w:rsidRPr="00754C12">
              <w:rPr>
                <w:sz w:val="22"/>
                <w:szCs w:val="22"/>
                <w:lang w:val="en-US" w:eastAsia="en-GB"/>
              </w:rPr>
              <w:br/>
            </w:r>
            <w:r w:rsidRPr="00754C12">
              <w:rPr>
                <w:sz w:val="22"/>
                <w:szCs w:val="22"/>
                <w:lang w:val="en-US" w:eastAsia="en-GB"/>
              </w:rPr>
              <w:br/>
            </w:r>
            <w:r w:rsidRPr="00754C12">
              <w:rPr>
                <w:sz w:val="22"/>
                <w:szCs w:val="22"/>
                <w:lang w:val="en-US" w:eastAsia="en-GB"/>
              </w:rPr>
              <w:br/>
            </w:r>
          </w:p>
        </w:tc>
      </w:tr>
    </w:tbl>
    <w:p w14:paraId="4E2A78F7" w14:textId="77777777" w:rsidR="0093026B" w:rsidRPr="00CD4E18" w:rsidRDefault="0093026B">
      <w:pPr>
        <w:rPr>
          <w:rFonts w:ascii="Arial" w:hAnsi="Arial" w:cs="Arial"/>
          <w:sz w:val="22"/>
          <w:szCs w:val="22"/>
        </w:rPr>
      </w:pPr>
    </w:p>
    <w:sectPr w:rsidR="0093026B" w:rsidRPr="00CD4E1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tlas Grotesk Regular">
    <w:panose1 w:val="00000000000000000000"/>
    <w:charset w:val="00"/>
    <w:family w:val="modern"/>
    <w:notTrueType/>
    <w:pitch w:val="variable"/>
    <w:sig w:usb0="0000000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26B"/>
    <w:rsid w:val="00002FFD"/>
    <w:rsid w:val="00093D85"/>
    <w:rsid w:val="00105A65"/>
    <w:rsid w:val="00300760"/>
    <w:rsid w:val="00632DE0"/>
    <w:rsid w:val="00754C12"/>
    <w:rsid w:val="007C7BF4"/>
    <w:rsid w:val="0093026B"/>
    <w:rsid w:val="00B01120"/>
    <w:rsid w:val="00B65CE2"/>
    <w:rsid w:val="00CD4E18"/>
    <w:rsid w:val="00E4235C"/>
    <w:rsid w:val="00F779C6"/>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4F7EC"/>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SimSun"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Pr>
      <w:color w:val="000000"/>
      <w:sz w:val="22"/>
      <w:szCs w:val="22"/>
    </w:rPr>
  </w:style>
  <w:style w:type="paragraph" w:customStyle="1" w:styleId="Pa12">
    <w:name w:val="Pa12"/>
    <w:basedOn w:val="Default"/>
    <w:next w:val="Default"/>
    <w:uiPriority w:val="99"/>
    <w:pPr>
      <w:spacing w:line="241" w:lineRule="atLeast"/>
    </w:pPr>
    <w:rPr>
      <w:color w:val="auto"/>
    </w:rPr>
  </w:style>
  <w:style w:type="paragraph" w:customStyle="1" w:styleId="Maintext">
    <w:name w:val="Main text"/>
    <w:basedOn w:val="Normal"/>
    <w:link w:val="MaintextChar"/>
    <w:qFormat/>
    <w:pPr>
      <w:spacing w:before="240" w:line="360" w:lineRule="auto"/>
    </w:pPr>
    <w:rPr>
      <w:rFonts w:eastAsiaTheme="minorEastAsia" w:cstheme="minorBidi"/>
      <w:szCs w:val="22"/>
      <w:lang w:val="en-AU" w:eastAsia="zh-CN"/>
    </w:rPr>
  </w:style>
  <w:style w:type="character" w:customStyle="1" w:styleId="MaintextChar">
    <w:name w:val="Main text Char"/>
    <w:basedOn w:val="DefaultParagraphFont"/>
    <w:link w:val="Maintext"/>
    <w:rPr>
      <w:rFonts w:ascii="Times New Roman" w:eastAsiaTheme="minorEastAsia" w:hAnsi="Times New Roman"/>
      <w:sz w:val="24"/>
      <w:szCs w:val="22"/>
      <w:lang w:val="en-AU" w:eastAsia="zh-CN"/>
    </w:rPr>
  </w:style>
  <w:style w:type="paragraph" w:styleId="CommentText">
    <w:name w:val="annotation text"/>
    <w:basedOn w:val="Normal"/>
    <w:link w:val="CommentTextChar"/>
    <w:uiPriority w:val="99"/>
    <w:unhideWhenUsed/>
    <w:rPr>
      <w:rFonts w:asciiTheme="minorHAnsi" w:eastAsiaTheme="minorEastAsia" w:hAnsiTheme="minorHAnsi" w:cstheme="minorBidi"/>
      <w:sz w:val="20"/>
      <w:szCs w:val="20"/>
      <w:lang w:eastAsia="zh-CN"/>
    </w:rPr>
  </w:style>
  <w:style w:type="character" w:customStyle="1" w:styleId="CommentTextChar">
    <w:name w:val="Comment Text Char"/>
    <w:basedOn w:val="DefaultParagraphFont"/>
    <w:link w:val="CommentText"/>
    <w:uiPriority w:val="99"/>
    <w:rPr>
      <w:rFonts w:asciiTheme="minorHAnsi" w:eastAsiaTheme="minorEastAsia" w:hAnsiTheme="minorHAnsi"/>
      <w:lang w:val="en-GB" w:eastAsia="zh-CN"/>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rFonts w:ascii="Times New Roman" w:eastAsia="Times New Roman" w:hAnsi="Times New Roman" w:cs="Times New Roman"/>
      <w:b/>
      <w:bCs/>
      <w:lang w:eastAsia="en-U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lang w:val="en-GB" w:eastAsia="zh-CN"/>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val="en-GB"/>
    </w:rPr>
  </w:style>
  <w:style w:type="paragraph" w:styleId="Revision">
    <w:name w:val="Revision"/>
    <w:hidden/>
    <w:uiPriority w:val="99"/>
    <w:semiHidden/>
    <w:rPr>
      <w:rFonts w:ascii="Times New Roman" w:eastAsia="Times New Roman" w:hAnsi="Times New Roman" w:cs="Times New Roman"/>
      <w:sz w:val="24"/>
      <w:szCs w:val="24"/>
      <w:lang w:val="en-GB"/>
    </w:rPr>
  </w:style>
  <w:style w:type="paragraph" w:customStyle="1" w:styleId="CuerpoA">
    <w:name w:val="Cuerpo A"/>
    <w:rsid w:val="00CD4E18"/>
    <w:pPr>
      <w:pBdr>
        <w:top w:val="nil"/>
        <w:left w:val="nil"/>
        <w:bottom w:val="nil"/>
        <w:right w:val="nil"/>
        <w:between w:val="nil"/>
        <w:bar w:val="nil"/>
      </w:pBdr>
    </w:pPr>
    <w:rPr>
      <w:rFonts w:ascii="Arial" w:eastAsia="Arial Unicode MS" w:hAnsi="Arial" w:cs="Arial Unicode MS"/>
      <w:color w:val="000000"/>
      <w:sz w:val="24"/>
      <w:szCs w:val="24"/>
      <w:u w:color="000000"/>
      <w:bdr w:val="nil"/>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4715b50f30b17542965b4420ea2ff890">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6b02c28eefde9561c47ce6f77b83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2.xml><?xml version="1.0" encoding="utf-8"?>
<ds:datastoreItem xmlns:ds="http://schemas.openxmlformats.org/officeDocument/2006/customXml" ds:itemID="{AA961898-40DD-42B0-A9FA-52244C88F073}">
  <ds:schemaRefs>
    <ds:schemaRef ds:uri="http://purl.org/dc/elements/1.1/"/>
    <ds:schemaRef ds:uri="http://schemas.microsoft.com/office/2006/metadata/properties"/>
    <ds:schemaRef ds:uri="http://schemas.microsoft.com/office/infopath/2007/PartnerControls"/>
    <ds:schemaRef ds:uri="cab52c9b-ab33-4221-8af9-54f8f2b86a80"/>
    <ds:schemaRef ds:uri="http://purl.org/dc/terms/"/>
    <ds:schemaRef ds:uri="9c8a2b7b-0bee-4c48-b0a6-23db8982d3bc"/>
    <ds:schemaRef ds:uri="http://schemas.microsoft.com/office/2006/documentManagement/types"/>
    <ds:schemaRef ds:uri="6911e96c-4cc4-42d5-8e43-f93924cf6a05"/>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D73499FD-0489-47C3-9E78-3515B9F1B1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530</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Clare Kelly</cp:lastModifiedBy>
  <cp:revision>2</cp:revision>
  <cp:lastPrinted>2023-10-18T06:53:00Z</cp:lastPrinted>
  <dcterms:created xsi:type="dcterms:W3CDTF">2024-03-22T02:55:00Z</dcterms:created>
  <dcterms:modified xsi:type="dcterms:W3CDTF">2024-03-22T02:55:00Z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