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50053A" w14:paraId="5C38377B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5C44F357" w14:textId="4B785B92" w:rsidR="001564A4" w:rsidRPr="003C1108" w:rsidRDefault="0042011A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982692" w:rsidRPr="003C1108">
              <w:rPr>
                <w:rFonts w:ascii="Arial" w:hAnsi="Arial" w:cs="Arial"/>
                <w:b/>
                <w:sz w:val="22"/>
                <w:szCs w:val="22"/>
              </w:rPr>
              <w:t>xygen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therapy implementation</w:t>
            </w:r>
            <w:r w:rsidR="00982692" w:rsidRPr="003C1108">
              <w:rPr>
                <w:rFonts w:ascii="Arial" w:hAnsi="Arial" w:cs="Arial"/>
                <w:b/>
                <w:sz w:val="22"/>
                <w:szCs w:val="22"/>
              </w:rPr>
              <w:t xml:space="preserve"> guidance in Australian hospitals</w:t>
            </w:r>
            <w:r>
              <w:rPr>
                <w:rFonts w:ascii="Arial" w:hAnsi="Arial" w:cs="Arial"/>
                <w:b/>
                <w:sz w:val="22"/>
                <w:szCs w:val="22"/>
              </w:rPr>
              <w:t>: a systematic review</w:t>
            </w:r>
          </w:p>
        </w:tc>
      </w:tr>
      <w:tr w:rsidR="001564A4" w:rsidRPr="0050053A" w14:paraId="0E2E035C" w14:textId="77777777" w:rsidTr="000A28E2">
        <w:trPr>
          <w:jc w:val="center"/>
        </w:trPr>
        <w:tc>
          <w:tcPr>
            <w:tcW w:w="8640" w:type="dxa"/>
            <w:shd w:val="clear" w:color="auto" w:fill="auto"/>
          </w:tcPr>
          <w:p w14:paraId="3BF3AF62" w14:textId="77777777" w:rsidR="001564A4" w:rsidRPr="003C1108" w:rsidRDefault="00982692" w:rsidP="009826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1108">
              <w:rPr>
                <w:rFonts w:ascii="Arial" w:hAnsi="Arial" w:cs="Arial"/>
                <w:sz w:val="22"/>
                <w:szCs w:val="22"/>
                <w:u w:val="single"/>
              </w:rPr>
              <w:t>Buchan C</w:t>
            </w:r>
            <w:r w:rsidRPr="003C1108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3C1108">
              <w:rPr>
                <w:rFonts w:ascii="Arial" w:hAnsi="Arial" w:cs="Arial"/>
                <w:sz w:val="22"/>
                <w:szCs w:val="22"/>
              </w:rPr>
              <w:t>, Thomas T</w:t>
            </w:r>
            <w:r w:rsidRPr="003C1108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3C1108">
              <w:rPr>
                <w:rFonts w:ascii="Arial" w:hAnsi="Arial" w:cs="Arial"/>
                <w:sz w:val="22"/>
                <w:szCs w:val="22"/>
              </w:rPr>
              <w:t>, Khor Y</w:t>
            </w:r>
            <w:r w:rsidRPr="003C1108">
              <w:rPr>
                <w:rFonts w:ascii="Arial" w:hAnsi="Arial" w:cs="Arial"/>
                <w:sz w:val="22"/>
                <w:szCs w:val="22"/>
                <w:vertAlign w:val="superscript"/>
              </w:rPr>
              <w:t>1,2,3</w:t>
            </w:r>
            <w:r w:rsidRPr="003C1108">
              <w:rPr>
                <w:rFonts w:ascii="Arial" w:hAnsi="Arial" w:cs="Arial"/>
                <w:sz w:val="22"/>
                <w:szCs w:val="22"/>
              </w:rPr>
              <w:t>, Zahin R</w:t>
            </w:r>
            <w:r w:rsidRPr="003C1108">
              <w:rPr>
                <w:rFonts w:ascii="Arial" w:hAnsi="Arial" w:cs="Arial"/>
                <w:sz w:val="22"/>
                <w:szCs w:val="22"/>
                <w:vertAlign w:val="superscript"/>
              </w:rPr>
              <w:t>4</w:t>
            </w:r>
            <w:r w:rsidRPr="003C1108">
              <w:rPr>
                <w:rFonts w:ascii="Arial" w:hAnsi="Arial" w:cs="Arial"/>
                <w:sz w:val="22"/>
                <w:szCs w:val="22"/>
              </w:rPr>
              <w:t>, Smallwood N</w:t>
            </w:r>
            <w:r w:rsidRPr="003C1108">
              <w:rPr>
                <w:rFonts w:ascii="Arial" w:hAnsi="Arial" w:cs="Arial"/>
                <w:sz w:val="22"/>
                <w:szCs w:val="22"/>
                <w:vertAlign w:val="superscript"/>
              </w:rPr>
              <w:t>1,2,4</w:t>
            </w:r>
          </w:p>
          <w:p w14:paraId="73B55295" w14:textId="62E31042" w:rsidR="00982692" w:rsidRPr="003C1108" w:rsidRDefault="00982692" w:rsidP="0098269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4A4" w:rsidRPr="0050053A" w14:paraId="385A19D9" w14:textId="77777777" w:rsidTr="000A28E2">
        <w:trPr>
          <w:trHeight w:val="136"/>
          <w:jc w:val="center"/>
        </w:trPr>
        <w:tc>
          <w:tcPr>
            <w:tcW w:w="8640" w:type="dxa"/>
            <w:shd w:val="clear" w:color="auto" w:fill="auto"/>
          </w:tcPr>
          <w:p w14:paraId="68DE9119" w14:textId="77777777" w:rsidR="001564A4" w:rsidRDefault="00982692" w:rsidP="00CF663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C1108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1</w:t>
            </w:r>
            <w:r w:rsidRPr="003C1108">
              <w:rPr>
                <w:rFonts w:ascii="Arial" w:hAnsi="Arial" w:cs="Arial"/>
                <w:i/>
                <w:sz w:val="22"/>
                <w:szCs w:val="22"/>
              </w:rPr>
              <w:t xml:space="preserve">Respiratory </w:t>
            </w:r>
            <w:proofErr w:type="spellStart"/>
            <w:r w:rsidRPr="003C1108">
              <w:rPr>
                <w:rFonts w:ascii="Arial" w:hAnsi="Arial" w:cs="Arial"/>
                <w:i/>
                <w:sz w:val="22"/>
                <w:szCs w:val="22"/>
              </w:rPr>
              <w:t>research@alfred</w:t>
            </w:r>
            <w:proofErr w:type="spellEnd"/>
            <w:r w:rsidRPr="003C1108">
              <w:rPr>
                <w:rFonts w:ascii="Arial" w:hAnsi="Arial" w:cs="Arial"/>
                <w:i/>
                <w:sz w:val="22"/>
                <w:szCs w:val="22"/>
              </w:rPr>
              <w:t>, Monash University, Melbourne, Australia,</w:t>
            </w:r>
            <w:r w:rsidRPr="003C1108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 2</w:t>
            </w:r>
            <w:r w:rsidRPr="003C1108">
              <w:rPr>
                <w:rFonts w:ascii="Arial" w:hAnsi="Arial" w:cs="Arial"/>
                <w:i/>
                <w:sz w:val="22"/>
                <w:szCs w:val="22"/>
              </w:rPr>
              <w:t>Respiratory Medicine, Alfred Health, Melbourne, Australia,</w:t>
            </w:r>
            <w:r w:rsidRPr="003C1108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3</w:t>
            </w:r>
            <w:r w:rsidRPr="003C1108">
              <w:rPr>
                <w:rFonts w:ascii="Arial" w:hAnsi="Arial" w:cs="Arial"/>
                <w:i/>
                <w:sz w:val="22"/>
                <w:szCs w:val="22"/>
              </w:rPr>
              <w:t xml:space="preserve">Respiratory Medicine, Austin Hospital, Melbourne, Australia, </w:t>
            </w:r>
            <w:r w:rsidRPr="003C1108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4</w:t>
            </w:r>
            <w:r w:rsidRPr="003C1108">
              <w:rPr>
                <w:rFonts w:ascii="Arial" w:hAnsi="Arial" w:cs="Arial"/>
                <w:i/>
                <w:sz w:val="22"/>
                <w:szCs w:val="22"/>
              </w:rPr>
              <w:t>Department of Medicine, University of Melbourne, Melbourne, Australia.</w:t>
            </w:r>
            <w:r w:rsidRPr="003C1108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 xml:space="preserve">  </w:t>
            </w:r>
          </w:p>
          <w:p w14:paraId="45ED36BF" w14:textId="4B8C8531" w:rsidR="00CF6638" w:rsidRPr="00CF6638" w:rsidRDefault="00CF6638" w:rsidP="00CF6638">
            <w:pPr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1564A4" w:rsidRPr="003C1108" w14:paraId="6DAF615A" w14:textId="77777777" w:rsidTr="00611644">
        <w:trPr>
          <w:trHeight w:hRule="exact" w:val="10365"/>
          <w:jc w:val="center"/>
        </w:trPr>
        <w:tc>
          <w:tcPr>
            <w:tcW w:w="8640" w:type="dxa"/>
            <w:shd w:val="clear" w:color="auto" w:fill="auto"/>
          </w:tcPr>
          <w:p w14:paraId="24740A06" w14:textId="233B9490" w:rsidR="003C1108" w:rsidRPr="00DB0D8B" w:rsidRDefault="003C1108" w:rsidP="003C11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 w:rsidRPr="00DB0D8B">
              <w:rPr>
                <w:rFonts w:ascii="Arial" w:hAnsi="Arial" w:cs="Arial"/>
                <w:b/>
                <w:sz w:val="22"/>
                <w:szCs w:val="22"/>
              </w:rPr>
              <w:t>Introduction/Aim:</w:t>
            </w:r>
            <w:r w:rsidRPr="00DB0D8B">
              <w:rPr>
                <w:rFonts w:ascii="Arial" w:hAnsi="Arial" w:cs="Arial"/>
                <w:sz w:val="22"/>
                <w:szCs w:val="22"/>
              </w:rPr>
              <w:t xml:space="preserve"> Conventional oxygen therapy (COT) is used routinely </w:t>
            </w:r>
            <w:r w:rsidR="0042011A">
              <w:rPr>
                <w:rFonts w:ascii="Arial" w:hAnsi="Arial" w:cs="Arial"/>
                <w:sz w:val="22"/>
                <w:szCs w:val="22"/>
              </w:rPr>
              <w:t>to manage</w:t>
            </w:r>
            <w:r w:rsidRPr="00DB0D8B">
              <w:rPr>
                <w:rFonts w:ascii="Arial" w:hAnsi="Arial" w:cs="Arial"/>
                <w:sz w:val="22"/>
                <w:szCs w:val="22"/>
              </w:rPr>
              <w:t xml:space="preserve"> acute hypoxaemic respiratory failure We aimed to review COT </w:t>
            </w:r>
            <w:r w:rsidR="0042011A">
              <w:rPr>
                <w:rFonts w:ascii="Arial" w:hAnsi="Arial" w:cs="Arial"/>
                <w:sz w:val="22"/>
                <w:szCs w:val="22"/>
              </w:rPr>
              <w:t xml:space="preserve">implementation </w:t>
            </w:r>
            <w:r w:rsidRPr="00DB0D8B">
              <w:rPr>
                <w:rFonts w:ascii="Arial" w:hAnsi="Arial" w:cs="Arial"/>
                <w:sz w:val="22"/>
                <w:szCs w:val="22"/>
              </w:rPr>
              <w:t xml:space="preserve">guidance documents in Australian hospitals, to identify </w:t>
            </w:r>
            <w:r w:rsidR="0042011A">
              <w:rPr>
                <w:rFonts w:ascii="Arial" w:hAnsi="Arial" w:cs="Arial"/>
                <w:sz w:val="22"/>
                <w:szCs w:val="22"/>
              </w:rPr>
              <w:t xml:space="preserve">current practice, </w:t>
            </w:r>
            <w:r w:rsidRPr="00DB0D8B">
              <w:rPr>
                <w:rFonts w:ascii="Arial" w:hAnsi="Arial" w:cs="Arial"/>
                <w:sz w:val="22"/>
                <w:szCs w:val="22"/>
              </w:rPr>
              <w:t xml:space="preserve">any variations and to generate standardised core </w:t>
            </w:r>
            <w:r w:rsidR="0042011A">
              <w:rPr>
                <w:rFonts w:ascii="Arial" w:hAnsi="Arial" w:cs="Arial"/>
                <w:sz w:val="22"/>
                <w:szCs w:val="22"/>
              </w:rPr>
              <w:t xml:space="preserve">implementation </w:t>
            </w:r>
            <w:r w:rsidRPr="00DB0D8B">
              <w:rPr>
                <w:rFonts w:ascii="Arial" w:hAnsi="Arial" w:cs="Arial"/>
                <w:sz w:val="22"/>
                <w:szCs w:val="22"/>
              </w:rPr>
              <w:t>recommendations.</w:t>
            </w:r>
          </w:p>
          <w:p w14:paraId="22DC2898" w14:textId="77777777" w:rsidR="003C1108" w:rsidRPr="00DB0D8B" w:rsidRDefault="003C1108" w:rsidP="003C11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B14B8B" w14:textId="3FBF0F63" w:rsidR="003C1108" w:rsidRPr="00DB0D8B" w:rsidRDefault="003C1108" w:rsidP="003C11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B0D8B">
              <w:rPr>
                <w:rFonts w:ascii="Arial" w:hAnsi="Arial" w:cs="Arial"/>
                <w:b/>
                <w:sz w:val="22"/>
                <w:szCs w:val="22"/>
              </w:rPr>
              <w:t xml:space="preserve">Methods: </w:t>
            </w:r>
            <w:r w:rsidRPr="00DB0D8B">
              <w:rPr>
                <w:rFonts w:ascii="Arial" w:hAnsi="Arial" w:cs="Arial"/>
                <w:sz w:val="22"/>
                <w:szCs w:val="22"/>
              </w:rPr>
              <w:t xml:space="preserve">A systematic review of </w:t>
            </w:r>
            <w:r w:rsidR="0042011A">
              <w:rPr>
                <w:rFonts w:ascii="Arial" w:hAnsi="Arial" w:cs="Arial"/>
                <w:sz w:val="22"/>
                <w:szCs w:val="22"/>
              </w:rPr>
              <w:t xml:space="preserve">Australian </w:t>
            </w:r>
            <w:r w:rsidRPr="00DB0D8B">
              <w:rPr>
                <w:rFonts w:ascii="Arial" w:hAnsi="Arial" w:cs="Arial"/>
                <w:sz w:val="22"/>
                <w:szCs w:val="22"/>
              </w:rPr>
              <w:t>hospital’s</w:t>
            </w:r>
            <w:r w:rsidRPr="00DB0D8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B0D8B">
              <w:rPr>
                <w:rFonts w:ascii="Arial" w:hAnsi="Arial" w:cs="Arial"/>
                <w:sz w:val="22"/>
                <w:szCs w:val="22"/>
              </w:rPr>
              <w:t xml:space="preserve">COT </w:t>
            </w:r>
            <w:r w:rsidR="0042011A">
              <w:rPr>
                <w:rFonts w:ascii="Arial" w:hAnsi="Arial" w:cs="Arial"/>
                <w:sz w:val="22"/>
                <w:szCs w:val="22"/>
              </w:rPr>
              <w:t xml:space="preserve">implementation </w:t>
            </w:r>
            <w:r w:rsidRPr="00DB0D8B">
              <w:rPr>
                <w:rFonts w:ascii="Arial" w:hAnsi="Arial" w:cs="Arial"/>
                <w:sz w:val="22"/>
                <w:szCs w:val="22"/>
              </w:rPr>
              <w:t xml:space="preserve">guidelines, protocols, procedures and policies </w:t>
            </w:r>
            <w:r w:rsidR="0042011A">
              <w:rPr>
                <w:rFonts w:ascii="Arial" w:hAnsi="Arial" w:cs="Arial"/>
                <w:sz w:val="22"/>
                <w:szCs w:val="22"/>
              </w:rPr>
              <w:t>for</w:t>
            </w:r>
            <w:r w:rsidRPr="00DB0D8B">
              <w:rPr>
                <w:rFonts w:ascii="Arial" w:hAnsi="Arial" w:cs="Arial"/>
                <w:sz w:val="22"/>
                <w:szCs w:val="22"/>
              </w:rPr>
              <w:t xml:space="preserve"> adult inpatients were identified via the PROMPT database and other networks. Data extracted included COT initiation, maintenance, weaning, </w:t>
            </w:r>
            <w:r w:rsidR="0042011A"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Pr="00DB0D8B">
              <w:rPr>
                <w:rFonts w:ascii="Arial" w:hAnsi="Arial" w:cs="Arial"/>
                <w:sz w:val="22"/>
                <w:szCs w:val="22"/>
              </w:rPr>
              <w:t>escalation</w:t>
            </w:r>
            <w:r w:rsidR="0042011A">
              <w:rPr>
                <w:rFonts w:ascii="Arial" w:hAnsi="Arial" w:cs="Arial"/>
                <w:sz w:val="22"/>
                <w:szCs w:val="22"/>
              </w:rPr>
              <w:t>,</w:t>
            </w:r>
            <w:r w:rsidRPr="00DB0D8B">
              <w:rPr>
                <w:rFonts w:ascii="Arial" w:hAnsi="Arial" w:cs="Arial"/>
                <w:sz w:val="22"/>
                <w:szCs w:val="22"/>
              </w:rPr>
              <w:t xml:space="preserve"> and processes of care. </w:t>
            </w:r>
          </w:p>
          <w:p w14:paraId="5E0ECCEC" w14:textId="77777777" w:rsidR="003C1108" w:rsidRPr="00DB0D8B" w:rsidRDefault="003C1108" w:rsidP="003C11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0D5F85" w14:textId="5B9AB265" w:rsidR="0042011A" w:rsidRDefault="00283818" w:rsidP="002838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818">
              <w:rPr>
                <w:rFonts w:ascii="Arial" w:hAnsi="Arial" w:cs="Arial"/>
                <w:b/>
                <w:sz w:val="22"/>
                <w:szCs w:val="22"/>
              </w:rPr>
              <w:t>Results:</w:t>
            </w:r>
            <w:r w:rsidRPr="00283818">
              <w:rPr>
                <w:rFonts w:ascii="Arial" w:hAnsi="Arial" w:cs="Arial"/>
                <w:sz w:val="22"/>
                <w:szCs w:val="22"/>
              </w:rPr>
              <w:t xml:space="preserve"> Of</w:t>
            </w:r>
            <w:r w:rsidR="0042011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83818">
              <w:rPr>
                <w:rFonts w:ascii="Arial" w:hAnsi="Arial" w:cs="Arial"/>
                <w:sz w:val="22"/>
                <w:szCs w:val="22"/>
              </w:rPr>
              <w:t>17,331 documents identified, 37 were included</w:t>
            </w:r>
            <w:r w:rsidR="0042011A">
              <w:rPr>
                <w:rFonts w:ascii="Arial" w:hAnsi="Arial" w:cs="Arial"/>
                <w:sz w:val="22"/>
                <w:szCs w:val="22"/>
              </w:rPr>
              <w:t>, with</w:t>
            </w:r>
            <w:r w:rsidRPr="00283818">
              <w:rPr>
                <w:rFonts w:ascii="Arial" w:hAnsi="Arial" w:cs="Arial"/>
                <w:sz w:val="22"/>
                <w:szCs w:val="22"/>
              </w:rPr>
              <w:t xml:space="preserve"> 36 Victorian hospitals (97.3%), 21 (56.7%) rural, 9 (24.3%) regional, and 7 (18.9%) metropolitan. Most focused on medical wards (n=36, 97.3%). TSANZ acute oxygen guidelines were referenced infrequently (n=11, 29.7%). </w:t>
            </w:r>
          </w:p>
          <w:p w14:paraId="6F487AF8" w14:textId="77777777" w:rsidR="0042011A" w:rsidRDefault="0042011A" w:rsidP="002838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F60BEB" w14:textId="1797846D" w:rsidR="0042011A" w:rsidRDefault="00283818" w:rsidP="002838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818">
              <w:rPr>
                <w:rFonts w:ascii="Arial" w:hAnsi="Arial" w:cs="Arial"/>
                <w:sz w:val="22"/>
                <w:szCs w:val="22"/>
              </w:rPr>
              <w:t xml:space="preserve">Pulse oximetry (n=23, 62.2%) was recommended more often than arterial blood gas (ABG) </w:t>
            </w:r>
            <w:r w:rsidR="0042011A">
              <w:rPr>
                <w:rFonts w:ascii="Arial" w:hAnsi="Arial" w:cs="Arial"/>
                <w:sz w:val="22"/>
                <w:szCs w:val="22"/>
              </w:rPr>
              <w:t xml:space="preserve">measurement </w:t>
            </w:r>
            <w:r w:rsidRPr="00283818">
              <w:rPr>
                <w:rFonts w:ascii="Arial" w:hAnsi="Arial" w:cs="Arial"/>
                <w:sz w:val="22"/>
                <w:szCs w:val="22"/>
              </w:rPr>
              <w:t>(n=13, 35.1%) for assessing hypoxaemia. None required an ABG prior to COT initiation (n=37, 100%)</w:t>
            </w:r>
            <w:r w:rsidR="0042011A">
              <w:rPr>
                <w:rFonts w:ascii="Arial" w:hAnsi="Arial" w:cs="Arial"/>
                <w:sz w:val="22"/>
                <w:szCs w:val="22"/>
              </w:rPr>
              <w:t>.</w:t>
            </w:r>
            <w:r w:rsidRPr="00283818">
              <w:rPr>
                <w:rFonts w:ascii="Arial" w:hAnsi="Arial" w:cs="Arial"/>
                <w:sz w:val="22"/>
                <w:szCs w:val="22"/>
              </w:rPr>
              <w:t xml:space="preserve"> 3 (8.1%) documents recommended ABG be performed to monitor COT use. Oxygen saturation (SpO</w:t>
            </w:r>
            <w:r w:rsidRPr="00283818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  <w:r w:rsidRPr="00283818">
              <w:rPr>
                <w:rFonts w:ascii="Arial" w:hAnsi="Arial" w:cs="Arial"/>
                <w:sz w:val="22"/>
                <w:szCs w:val="22"/>
              </w:rPr>
              <w:t xml:space="preserve">) targets for </w:t>
            </w:r>
            <w:r w:rsidR="0042011A">
              <w:rPr>
                <w:rFonts w:ascii="Arial" w:hAnsi="Arial" w:cs="Arial"/>
                <w:sz w:val="22"/>
                <w:szCs w:val="22"/>
              </w:rPr>
              <w:t xml:space="preserve">COT </w:t>
            </w:r>
            <w:r w:rsidRPr="00283818">
              <w:rPr>
                <w:rFonts w:ascii="Arial" w:hAnsi="Arial" w:cs="Arial"/>
                <w:sz w:val="22"/>
                <w:szCs w:val="22"/>
              </w:rPr>
              <w:t xml:space="preserve">initiation and maintenance were common (n=29, 78.4%), </w:t>
            </w:r>
            <w:r w:rsidR="0042011A">
              <w:rPr>
                <w:rFonts w:ascii="Arial" w:hAnsi="Arial" w:cs="Arial"/>
                <w:sz w:val="22"/>
                <w:szCs w:val="22"/>
              </w:rPr>
              <w:t>however,</w:t>
            </w:r>
            <w:r w:rsidRPr="00283818">
              <w:rPr>
                <w:rFonts w:ascii="Arial" w:hAnsi="Arial" w:cs="Arial"/>
                <w:sz w:val="22"/>
                <w:szCs w:val="22"/>
              </w:rPr>
              <w:t xml:space="preserve"> 6 (16.2%) did not specify a SpO</w:t>
            </w:r>
            <w:r w:rsidRPr="00283818">
              <w:rPr>
                <w:rFonts w:ascii="Arial" w:hAnsi="Arial" w:cs="Arial"/>
                <w:sz w:val="22"/>
                <w:szCs w:val="22"/>
                <w:vertAlign w:val="subscript"/>
              </w:rPr>
              <w:t xml:space="preserve">2 </w:t>
            </w:r>
            <w:r w:rsidRPr="00283818">
              <w:rPr>
                <w:rFonts w:ascii="Arial" w:hAnsi="Arial" w:cs="Arial"/>
                <w:sz w:val="22"/>
                <w:szCs w:val="22"/>
              </w:rPr>
              <w:t xml:space="preserve">value to define hypoxaemia. </w:t>
            </w:r>
          </w:p>
          <w:p w14:paraId="78D0DA90" w14:textId="77777777" w:rsidR="0042011A" w:rsidRDefault="0042011A" w:rsidP="002838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DEFA23" w14:textId="0734348E" w:rsidR="00283818" w:rsidRPr="00283818" w:rsidRDefault="00283818" w:rsidP="002838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83818">
              <w:rPr>
                <w:rFonts w:ascii="Arial" w:hAnsi="Arial" w:cs="Arial"/>
                <w:sz w:val="22"/>
                <w:szCs w:val="22"/>
              </w:rPr>
              <w:t xml:space="preserve">Medical staff were most often identified as prescribing </w:t>
            </w:r>
            <w:r w:rsidRPr="001D34C7">
              <w:rPr>
                <w:rFonts w:ascii="Arial" w:hAnsi="Arial" w:cs="Arial"/>
                <w:sz w:val="22"/>
                <w:szCs w:val="22"/>
              </w:rPr>
              <w:t>COT (n=21, 56.7%), followed by nurses (n=14, 37.8%) and physiotherapists (n=4, 10.8%). Guidance on monitoring and up titration occurred frequently (n=29, 78.3%), however, 15 (40.5%) documents did not specify criteria for clinical review and weaning guidance was rarely included (n=9, 24.3%). A system to detect patient deterioration was often stated (n=19, 51.3%), commonly MET criteria (n=17, 45.9%). Guidance regarding COT</w:t>
            </w:r>
            <w:r w:rsidRPr="00283818">
              <w:rPr>
                <w:rFonts w:ascii="Arial" w:hAnsi="Arial" w:cs="Arial"/>
                <w:sz w:val="22"/>
                <w:szCs w:val="22"/>
              </w:rPr>
              <w:t xml:space="preserve"> delivery systems was high variable.</w:t>
            </w:r>
          </w:p>
          <w:p w14:paraId="0EE60B67" w14:textId="77777777" w:rsidR="003C1108" w:rsidRPr="003C1108" w:rsidRDefault="003C1108" w:rsidP="003C11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8AF1C99" w14:textId="2AC004F1" w:rsidR="003C1108" w:rsidRDefault="003C1108" w:rsidP="003C11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C1108">
              <w:rPr>
                <w:rFonts w:ascii="Arial" w:hAnsi="Arial" w:cs="Arial"/>
                <w:b/>
                <w:sz w:val="22"/>
                <w:szCs w:val="22"/>
              </w:rPr>
              <w:t>Conclusion:</w:t>
            </w:r>
            <w:r w:rsidRPr="003C1108">
              <w:rPr>
                <w:rFonts w:ascii="Arial" w:hAnsi="Arial" w:cs="Arial"/>
                <w:sz w:val="22"/>
                <w:szCs w:val="22"/>
              </w:rPr>
              <w:t xml:space="preserve"> There was substantial variation in Australian health services’ COT</w:t>
            </w:r>
            <w:r w:rsidR="0042011A">
              <w:rPr>
                <w:rFonts w:ascii="Arial" w:hAnsi="Arial" w:cs="Arial"/>
                <w:sz w:val="22"/>
                <w:szCs w:val="22"/>
              </w:rPr>
              <w:t xml:space="preserve"> implementation</w:t>
            </w:r>
            <w:r w:rsidRPr="003C1108">
              <w:rPr>
                <w:rFonts w:ascii="Arial" w:hAnsi="Arial" w:cs="Arial"/>
                <w:sz w:val="22"/>
                <w:szCs w:val="22"/>
              </w:rPr>
              <w:t xml:space="preserve"> guidance and recommended process</w:t>
            </w:r>
            <w:r w:rsidR="0042011A">
              <w:rPr>
                <w:rFonts w:ascii="Arial" w:hAnsi="Arial" w:cs="Arial"/>
                <w:sz w:val="22"/>
                <w:szCs w:val="22"/>
              </w:rPr>
              <w:t>es</w:t>
            </w:r>
            <w:r w:rsidRPr="003C1108">
              <w:rPr>
                <w:rFonts w:ascii="Arial" w:hAnsi="Arial" w:cs="Arial"/>
                <w:sz w:val="22"/>
                <w:szCs w:val="22"/>
              </w:rPr>
              <w:t xml:space="preserve"> of care. </w:t>
            </w:r>
            <w:r w:rsidR="0042011A">
              <w:rPr>
                <w:rFonts w:ascii="Arial" w:hAnsi="Arial" w:cs="Arial"/>
                <w:sz w:val="22"/>
                <w:szCs w:val="22"/>
              </w:rPr>
              <w:t>Development and i</w:t>
            </w:r>
            <w:r w:rsidRPr="003C1108">
              <w:rPr>
                <w:rFonts w:ascii="Arial" w:hAnsi="Arial" w:cs="Arial"/>
                <w:sz w:val="22"/>
                <w:szCs w:val="22"/>
              </w:rPr>
              <w:t xml:space="preserve">mplementation of standardised core recommendations may assist clinical decision making, </w:t>
            </w:r>
            <w:r w:rsidR="0042011A">
              <w:rPr>
                <w:rFonts w:ascii="Arial" w:hAnsi="Arial" w:cs="Arial"/>
                <w:sz w:val="22"/>
                <w:szCs w:val="22"/>
              </w:rPr>
              <w:t>reduce</w:t>
            </w:r>
            <w:r w:rsidRPr="003C1108">
              <w:rPr>
                <w:rFonts w:ascii="Arial" w:hAnsi="Arial" w:cs="Arial"/>
                <w:sz w:val="22"/>
                <w:szCs w:val="22"/>
              </w:rPr>
              <w:t xml:space="preserve"> variations of care and improved patient safety and outcomes.</w:t>
            </w:r>
          </w:p>
          <w:bookmarkEnd w:id="0"/>
          <w:p w14:paraId="00BFFC55" w14:textId="77777777" w:rsidR="003C1108" w:rsidRPr="003C1108" w:rsidRDefault="003C1108" w:rsidP="003C110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5FD4DC1" w14:textId="13B87AF0" w:rsidR="00283818" w:rsidRDefault="00283818" w:rsidP="002838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 words</w:t>
            </w:r>
            <w:r w:rsidRPr="003C1108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Pr="003C110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 oxygen therapy, guidance, adults, acute care, hospital</w:t>
            </w:r>
          </w:p>
          <w:p w14:paraId="27510E33" w14:textId="77777777" w:rsidR="00283818" w:rsidRPr="003C1108" w:rsidRDefault="00283818" w:rsidP="00283818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E910DD" w14:textId="6040020C" w:rsidR="003C1108" w:rsidRDefault="003C1108" w:rsidP="003C1108">
            <w:pPr>
              <w:rPr>
                <w:rFonts w:ascii="Arial" w:hAnsi="Arial" w:cs="Arial"/>
                <w:sz w:val="22"/>
                <w:szCs w:val="22"/>
              </w:rPr>
            </w:pPr>
            <w:r w:rsidRPr="003C1108">
              <w:rPr>
                <w:rFonts w:ascii="Arial" w:hAnsi="Arial" w:cs="Arial"/>
                <w:b/>
                <w:sz w:val="22"/>
                <w:szCs w:val="22"/>
              </w:rPr>
              <w:t xml:space="preserve">Grant support: </w:t>
            </w:r>
            <w:r w:rsidRPr="003C1108">
              <w:rPr>
                <w:rFonts w:ascii="Arial" w:hAnsi="Arial" w:cs="Arial"/>
                <w:sz w:val="22"/>
                <w:szCs w:val="22"/>
              </w:rPr>
              <w:t xml:space="preserve">Australian Government research training scholarship </w:t>
            </w:r>
          </w:p>
          <w:p w14:paraId="129B76E8" w14:textId="77777777" w:rsidR="003C1108" w:rsidRPr="003C1108" w:rsidRDefault="003C1108" w:rsidP="003C1108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58D34F" w14:textId="77F37564" w:rsidR="001564A4" w:rsidRPr="00817792" w:rsidRDefault="003C1108" w:rsidP="00283818">
            <w:pPr>
              <w:rPr>
                <w:rFonts w:ascii="Arial" w:hAnsi="Arial" w:cs="Arial"/>
                <w:sz w:val="22"/>
                <w:szCs w:val="22"/>
              </w:rPr>
            </w:pPr>
            <w:r w:rsidRPr="003C1108">
              <w:rPr>
                <w:rFonts w:ascii="Arial" w:hAnsi="Arial" w:cs="Arial"/>
                <w:b/>
                <w:sz w:val="22"/>
                <w:szCs w:val="22"/>
              </w:rPr>
              <w:t>Conflict of interest:</w:t>
            </w:r>
            <w:r w:rsidRPr="003C1108">
              <w:rPr>
                <w:rFonts w:ascii="Arial" w:hAnsi="Arial" w:cs="Arial"/>
                <w:sz w:val="22"/>
                <w:szCs w:val="22"/>
              </w:rPr>
              <w:t xml:space="preserve"> Nil</w:t>
            </w:r>
          </w:p>
        </w:tc>
      </w:tr>
    </w:tbl>
    <w:p w14:paraId="7C36A9DC" w14:textId="44B40E20" w:rsidR="00E0700F" w:rsidRPr="003C1108" w:rsidRDefault="00E0700F" w:rsidP="001564A4">
      <w:pPr>
        <w:rPr>
          <w:rFonts w:ascii="Arial" w:hAnsi="Arial" w:cs="Arial"/>
          <w:sz w:val="22"/>
          <w:szCs w:val="22"/>
        </w:rPr>
      </w:pPr>
    </w:p>
    <w:p w14:paraId="1A4FEB11" w14:textId="06F9B116" w:rsidR="003C1108" w:rsidRDefault="003C1108" w:rsidP="001564A4"/>
    <w:p w14:paraId="31FA0EFF" w14:textId="77777777" w:rsidR="0056149C" w:rsidRDefault="0056149C" w:rsidP="001564A4"/>
    <w:sectPr w:rsidR="005614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63862"/>
    <w:rsid w:val="001564A4"/>
    <w:rsid w:val="00167241"/>
    <w:rsid w:val="001D34C7"/>
    <w:rsid w:val="001D392C"/>
    <w:rsid w:val="00283818"/>
    <w:rsid w:val="003C1108"/>
    <w:rsid w:val="0042011A"/>
    <w:rsid w:val="004A4A4E"/>
    <w:rsid w:val="0051574E"/>
    <w:rsid w:val="005375F0"/>
    <w:rsid w:val="0056149C"/>
    <w:rsid w:val="00611644"/>
    <w:rsid w:val="006A282D"/>
    <w:rsid w:val="00817792"/>
    <w:rsid w:val="008803FA"/>
    <w:rsid w:val="00974959"/>
    <w:rsid w:val="00982692"/>
    <w:rsid w:val="00B02930"/>
    <w:rsid w:val="00B12E32"/>
    <w:rsid w:val="00CF6638"/>
    <w:rsid w:val="00DB0D8B"/>
    <w:rsid w:val="00E0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NormalWeb">
    <w:name w:val="Normal (Web)"/>
    <w:basedOn w:val="Normal"/>
    <w:uiPriority w:val="99"/>
    <w:semiHidden/>
    <w:unhideWhenUsed/>
    <w:rsid w:val="0056149C"/>
    <w:pPr>
      <w:spacing w:before="100" w:beforeAutospacing="1" w:after="100" w:afterAutospacing="1"/>
    </w:pPr>
    <w:rPr>
      <w:lang w:val="en-AU" w:eastAsia="en-AU"/>
    </w:rPr>
  </w:style>
  <w:style w:type="character" w:styleId="Strong">
    <w:name w:val="Strong"/>
    <w:basedOn w:val="DefaultParagraphFont"/>
    <w:uiPriority w:val="22"/>
    <w:qFormat/>
    <w:rsid w:val="0056149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826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26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692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6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692"/>
    <w:rPr>
      <w:rFonts w:ascii="Times New Roman" w:eastAsia="Times New Roman" w:hAnsi="Times New Roman" w:cs="Times New Roman"/>
      <w:b/>
      <w:bCs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6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692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9AD8888C0D7244ABD6093B74F8FB4D" ma:contentTypeVersion="12" ma:contentTypeDescription="Create a new document." ma:contentTypeScope="" ma:versionID="edc4e974bc3162ac9ed28011c1166d4f">
  <xsd:schema xmlns:xsd="http://www.w3.org/2001/XMLSchema" xmlns:xs="http://www.w3.org/2001/XMLSchema" xmlns:p="http://schemas.microsoft.com/office/2006/metadata/properties" xmlns:ns3="193397e8-0f8f-4f8c-b2ab-8c1f91492a9d" targetNamespace="http://schemas.microsoft.com/office/2006/metadata/properties" ma:root="true" ma:fieldsID="7f9cdf6e4d18293b67be8e8a7ba1b464" ns3:_="">
    <xsd:import namespace="193397e8-0f8f-4f8c-b2ab-8c1f91492a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397e8-0f8f-4f8c-b2ab-8c1f9149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93397e8-0f8f-4f8c-b2ab-8c1f91492a9d" xsi:nil="true"/>
  </documentManagement>
</p:properties>
</file>

<file path=customXml/itemProps1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E146D-1851-40E7-8EC7-5167F2F80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3397e8-0f8f-4f8c-b2ab-8c1f91492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93397e8-0f8f-4f8c-b2ab-8c1f91492a9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Catherine Buchan</cp:lastModifiedBy>
  <cp:revision>4</cp:revision>
  <dcterms:created xsi:type="dcterms:W3CDTF">2023-10-18T00:31:00Z</dcterms:created>
  <dcterms:modified xsi:type="dcterms:W3CDTF">2023-10-18T04:50:00Z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0x010100949AD8888C0D7244ABD6093B74F8FB4D</vt:lpwstr>
  </property>
  <property fmtid="{D5CDD505-2E9C-101B-9397-08002B2CF9AE}" pid="3" name="MediaServiceImageTags">
    <vt:lpwstr/>
  </property>
</Properties>
</file>