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22A1C645" w:rsidR="002B7FC8" w:rsidRPr="00242808" w:rsidRDefault="00554E5C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4E5C">
              <w:rPr>
                <w:rFonts w:ascii="Arial" w:hAnsi="Arial" w:cs="Arial"/>
                <w:b/>
                <w:sz w:val="22"/>
                <w:szCs w:val="22"/>
              </w:rPr>
              <w:t>Effectiveness of Information Technology-enabled ‘SMART Eating’ Health Promotion Intervention: A Cluster RCT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0BCF216B" w14:textId="77777777" w:rsidR="00554E5C" w:rsidRPr="001256C8" w:rsidRDefault="00554E5C" w:rsidP="00554E5C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 w:rsidRPr="001256C8">
              <w:rPr>
                <w:rFonts w:ascii="Arial" w:hAnsi="Arial" w:cs="Arial"/>
                <w:b/>
                <w:shd w:val="clear" w:color="auto" w:fill="FFFFFF"/>
              </w:rPr>
              <w:t>Background</w:t>
            </w:r>
          </w:p>
          <w:p w14:paraId="2441B0E2" w14:textId="77777777" w:rsidR="00554E5C" w:rsidRPr="001256C8" w:rsidRDefault="00554E5C" w:rsidP="00554E5C">
            <w:pPr>
              <w:spacing w:after="100" w:afterAutospacing="1"/>
              <w:jc w:val="both"/>
              <w:rPr>
                <w:rFonts w:ascii="Arial" w:hAnsi="Arial" w:cs="Arial"/>
              </w:rPr>
            </w:pPr>
            <w:r w:rsidRPr="001256C8">
              <w:rPr>
                <w:rFonts w:ascii="Arial" w:hAnsi="Arial" w:cs="Arial"/>
                <w:shd w:val="clear" w:color="auto" w:fill="FFFFFF"/>
              </w:rPr>
              <w:t>Unhealthy diet intake such as consuming high fat, sugar, and salt, and low fruits and vegetables is a</w:t>
            </w:r>
            <w:r w:rsidRPr="001256C8">
              <w:rPr>
                <w:rFonts w:ascii="Arial" w:hAnsi="Arial" w:cs="Arial"/>
              </w:rPr>
              <w:t xml:space="preserve"> major risk factor for chronic diseases. There is lack of evidence-based interventions to promote healthy dietary intake among Indian populations. To address this gap, this study tested the effectiveness of an information technology-enabled ‘SMART Eating’ intervention.</w:t>
            </w:r>
          </w:p>
          <w:p w14:paraId="072B8B9F" w14:textId="77777777" w:rsidR="00554E5C" w:rsidRPr="001256C8" w:rsidRDefault="00554E5C" w:rsidP="00554E5C">
            <w:pPr>
              <w:jc w:val="both"/>
              <w:rPr>
                <w:rFonts w:ascii="Arial" w:hAnsi="Arial" w:cs="Arial"/>
                <w:b/>
              </w:rPr>
            </w:pPr>
            <w:r w:rsidRPr="001256C8">
              <w:rPr>
                <w:rFonts w:ascii="Arial" w:hAnsi="Arial" w:cs="Arial"/>
                <w:b/>
              </w:rPr>
              <w:t>Methods</w:t>
            </w:r>
          </w:p>
          <w:p w14:paraId="2C980B1C" w14:textId="77777777" w:rsidR="00554E5C" w:rsidRPr="00E61C26" w:rsidRDefault="00554E5C" w:rsidP="00554E5C">
            <w:pPr>
              <w:pStyle w:val="NoSpacing"/>
              <w:spacing w:after="100" w:afterAutospacing="1"/>
              <w:jc w:val="both"/>
              <w:rPr>
                <w:rFonts w:ascii="Arial" w:hAnsi="Arial" w:cs="Arial"/>
                <w:bCs/>
                <w:lang w:val="en-GB"/>
              </w:rPr>
            </w:pPr>
            <w:r w:rsidRPr="001256C8">
              <w:rPr>
                <w:rFonts w:ascii="Arial" w:eastAsia="Times New Roman" w:hAnsi="Arial" w:cs="Arial"/>
                <w:lang w:val="en-GB"/>
              </w:rPr>
              <w:t xml:space="preserve">A cluster </w:t>
            </w:r>
            <w:r>
              <w:rPr>
                <w:rFonts w:ascii="Arial" w:eastAsia="Times New Roman" w:hAnsi="Arial" w:cs="Arial"/>
                <w:lang w:val="en-GB"/>
              </w:rPr>
              <w:t>RCT</w:t>
            </w:r>
            <w:r w:rsidRPr="001256C8">
              <w:rPr>
                <w:rFonts w:ascii="Arial" w:eastAsia="Times New Roman" w:hAnsi="Arial" w:cs="Arial"/>
                <w:lang w:val="en-GB"/>
              </w:rPr>
              <w:t xml:space="preserve"> was implemented in twelve clusters</w:t>
            </w:r>
            <w:r>
              <w:rPr>
                <w:rFonts w:ascii="Arial" w:eastAsia="Times New Roman" w:hAnsi="Arial" w:cs="Arial"/>
                <w:lang w:val="en-GB"/>
              </w:rPr>
              <w:t xml:space="preserve">, based on income groups, in a </w:t>
            </w:r>
            <w:r w:rsidRPr="001256C8">
              <w:rPr>
                <w:rFonts w:ascii="Arial" w:eastAsia="Times New Roman" w:hAnsi="Arial" w:cs="Arial"/>
                <w:lang w:val="en-GB"/>
              </w:rPr>
              <w:t xml:space="preserve">North Indian city, Chandigarh. </w:t>
            </w:r>
            <w:r>
              <w:rPr>
                <w:rFonts w:ascii="Arial" w:eastAsia="Times New Roman" w:hAnsi="Arial" w:cs="Arial"/>
                <w:lang w:val="en-GB"/>
              </w:rPr>
              <w:t>C</w:t>
            </w:r>
            <w:r w:rsidRPr="001256C8">
              <w:rPr>
                <w:rFonts w:ascii="Arial" w:eastAsia="Times New Roman" w:hAnsi="Arial" w:cs="Arial"/>
                <w:lang w:val="en-GB"/>
              </w:rPr>
              <w:t xml:space="preserve">omputer-generated randomisation was used to allocate clusters to intervention and comparison arms. Sample size was 366 families per arm (N=732). </w:t>
            </w:r>
            <w:r w:rsidRPr="001256C8">
              <w:rPr>
                <w:rFonts w:ascii="Arial" w:hAnsi="Arial" w:cs="Arial"/>
                <w:lang w:val="en-GB"/>
              </w:rPr>
              <w:t>One adult per family was randomly selected as an index case to measure change in the outcomes.</w:t>
            </w:r>
            <w:r w:rsidRPr="001256C8"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Pr="001256C8">
              <w:rPr>
                <w:rFonts w:ascii="Arial" w:hAnsi="Arial" w:cs="Arial"/>
                <w:bCs/>
                <w:lang w:val="en-GB"/>
              </w:rPr>
              <w:t>Intervention had an IT component and an interpersonal component</w:t>
            </w:r>
            <w:r>
              <w:rPr>
                <w:rFonts w:ascii="Arial" w:hAnsi="Arial" w:cs="Arial"/>
                <w:bCs/>
                <w:lang w:val="en-GB"/>
              </w:rPr>
              <w:t>, with</w:t>
            </w:r>
            <w:r w:rsidRPr="001256C8">
              <w:rPr>
                <w:rFonts w:ascii="Arial" w:hAnsi="Arial" w:cs="Arial"/>
                <w:bCs/>
                <w:lang w:val="en-GB"/>
              </w:rPr>
              <w:t xml:space="preserve"> provision of ‘SMART Eating’ kit</w:t>
            </w:r>
            <w:r>
              <w:rPr>
                <w:rFonts w:ascii="Arial" w:hAnsi="Arial" w:cs="Arial"/>
                <w:bCs/>
                <w:lang w:val="en-GB"/>
              </w:rPr>
              <w:t xml:space="preserve"> having</w:t>
            </w:r>
            <w:r w:rsidRPr="001256C8">
              <w:rPr>
                <w:rFonts w:ascii="Arial" w:hAnsi="Arial" w:cs="Arial"/>
                <w:bCs/>
                <w:lang w:val="en-GB"/>
              </w:rPr>
              <w:t xml:space="preserve"> kitchen calendar, table mat, and measuring spoons. </w:t>
            </w:r>
            <w:r>
              <w:rPr>
                <w:rFonts w:ascii="Arial" w:hAnsi="Arial" w:cs="Arial"/>
                <w:bCs/>
                <w:lang w:val="en-GB"/>
              </w:rPr>
              <w:t xml:space="preserve">Comparison group received pamphlets on </w:t>
            </w:r>
            <w:r w:rsidRPr="001256C8">
              <w:rPr>
                <w:rFonts w:ascii="Arial" w:eastAsia="Times New Roman" w:hAnsi="Arial" w:cs="Arial"/>
                <w:lang w:val="en-GB"/>
              </w:rPr>
              <w:t>nutrition education. M</w:t>
            </w:r>
            <w:r w:rsidRPr="001256C8">
              <w:rPr>
                <w:rFonts w:ascii="Arial" w:hAnsi="Arial" w:cs="Arial"/>
                <w:lang w:val="en-GB"/>
              </w:rPr>
              <w:t xml:space="preserve">easurements were made at </w:t>
            </w:r>
            <w:r>
              <w:rPr>
                <w:rFonts w:ascii="Arial" w:hAnsi="Arial" w:cs="Arial"/>
                <w:lang w:val="en-GB"/>
              </w:rPr>
              <w:t>0</w:t>
            </w:r>
            <w:r w:rsidRPr="001256C8">
              <w:rPr>
                <w:rFonts w:ascii="Arial" w:hAnsi="Arial" w:cs="Arial"/>
                <w:lang w:val="en-GB"/>
              </w:rPr>
              <w:t xml:space="preserve"> and </w:t>
            </w:r>
            <w:r>
              <w:rPr>
                <w:rFonts w:ascii="Arial" w:hAnsi="Arial" w:cs="Arial"/>
                <w:lang w:val="en-GB"/>
              </w:rPr>
              <w:t>6</w:t>
            </w:r>
            <w:r w:rsidRPr="001256C8">
              <w:rPr>
                <w:rFonts w:ascii="Arial" w:hAnsi="Arial" w:cs="Arial"/>
                <w:lang w:val="en-GB"/>
              </w:rPr>
              <w:t xml:space="preserve"> months post-intervention. </w:t>
            </w:r>
            <w:r>
              <w:rPr>
                <w:rFonts w:ascii="Arial" w:hAnsi="Arial" w:cs="Arial"/>
                <w:lang w:val="en-GB"/>
              </w:rPr>
              <w:t xml:space="preserve">Primary </w:t>
            </w:r>
            <w:r w:rsidRPr="001256C8">
              <w:rPr>
                <w:rFonts w:ascii="Arial" w:eastAsia="Times New Roman" w:hAnsi="Arial" w:cs="Arial"/>
                <w:lang w:val="en-GB"/>
              </w:rPr>
              <w:t xml:space="preserve">outcomes were changes in mean dietary intakes of fat, sugar, salt, fruit </w:t>
            </w:r>
            <w:r>
              <w:rPr>
                <w:rFonts w:ascii="Arial" w:eastAsia="Times New Roman" w:hAnsi="Arial" w:cs="Arial"/>
                <w:lang w:val="en-GB"/>
              </w:rPr>
              <w:t>&amp;</w:t>
            </w:r>
            <w:r w:rsidRPr="001256C8">
              <w:rPr>
                <w:rFonts w:ascii="Arial" w:eastAsia="Times New Roman" w:hAnsi="Arial" w:cs="Arial"/>
                <w:lang w:val="en-GB"/>
              </w:rPr>
              <w:t xml:space="preserve"> vegetables. </w:t>
            </w:r>
            <w:r>
              <w:rPr>
                <w:rFonts w:ascii="Arial" w:eastAsia="Times New Roman" w:hAnsi="Arial" w:cs="Arial"/>
              </w:rPr>
              <w:t>Secondary outcomes included</w:t>
            </w:r>
            <w:r>
              <w:rPr>
                <w:rFonts w:ascii="Arial" w:hAnsi="Arial" w:cs="Arial"/>
              </w:rPr>
              <w:t xml:space="preserve"> change in </w:t>
            </w:r>
            <w:r>
              <w:rPr>
                <w:rFonts w:ascii="Arial" w:eastAsia="Times New Roman" w:hAnsi="Arial" w:cs="Arial"/>
              </w:rPr>
              <w:t xml:space="preserve">body mass index (BMI), blood pressure, haemoglobin, and fasting plasma glucose (FPG). </w:t>
            </w:r>
            <w:proofErr w:type="gramStart"/>
            <w:r>
              <w:rPr>
                <w:rFonts w:ascii="Arial" w:eastAsia="Times New Roman" w:hAnsi="Arial" w:cs="Arial"/>
              </w:rPr>
              <w:t>M</w:t>
            </w:r>
            <w:r w:rsidRPr="007E48EA">
              <w:rPr>
                <w:rFonts w:ascii="Arial" w:eastAsia="Times New Roman" w:hAnsi="Arial" w:cs="Arial"/>
              </w:rPr>
              <w:t>ixed effects linear regression models</w:t>
            </w:r>
            <w:r>
              <w:rPr>
                <w:rFonts w:ascii="Arial" w:eastAsia="Times New Roman" w:hAnsi="Arial" w:cs="Arial"/>
              </w:rPr>
              <w:t>,</w:t>
            </w:r>
            <w:proofErr w:type="gramEnd"/>
            <w:r w:rsidRPr="001256C8">
              <w:rPr>
                <w:rFonts w:ascii="Arial" w:hAnsi="Arial" w:cs="Arial"/>
                <w:lang w:val="en-GB"/>
              </w:rPr>
              <w:t xml:space="preserve"> was used to determine the net </w:t>
            </w:r>
            <w:r>
              <w:rPr>
                <w:rFonts w:ascii="Arial" w:hAnsi="Arial" w:cs="Arial"/>
              </w:rPr>
              <w:t>change in the outcomes of the intervention group, relative to the comparison group</w:t>
            </w:r>
            <w:r w:rsidRPr="001256C8">
              <w:rPr>
                <w:rFonts w:ascii="Arial" w:hAnsi="Arial" w:cs="Arial"/>
                <w:lang w:val="en-GB"/>
              </w:rPr>
              <w:t>.</w:t>
            </w:r>
            <w:bookmarkStart w:id="0" w:name="_GoBack"/>
            <w:bookmarkEnd w:id="0"/>
          </w:p>
          <w:p w14:paraId="5FEEFB6D" w14:textId="77777777" w:rsidR="00554E5C" w:rsidRPr="001256C8" w:rsidRDefault="00554E5C" w:rsidP="00554E5C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 w:rsidRPr="001256C8">
              <w:rPr>
                <w:rFonts w:ascii="Arial" w:hAnsi="Arial" w:cs="Arial"/>
                <w:b/>
                <w:shd w:val="clear" w:color="auto" w:fill="FFFFFF"/>
              </w:rPr>
              <w:t>Results</w:t>
            </w:r>
          </w:p>
          <w:p w14:paraId="6E305EA9" w14:textId="77777777" w:rsidR="00554E5C" w:rsidRPr="001256C8" w:rsidRDefault="00554E5C" w:rsidP="00554E5C">
            <w:pPr>
              <w:pStyle w:val="Default"/>
              <w:spacing w:after="240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en-GB"/>
              </w:rPr>
            </w:pPr>
            <w:r w:rsidRPr="001256C8">
              <w:rPr>
                <w:rFonts w:ascii="Arial" w:hAnsi="Arial" w:cs="Arial"/>
                <w:bCs/>
                <w:color w:val="auto"/>
                <w:sz w:val="22"/>
                <w:szCs w:val="22"/>
                <w:lang w:val="en-GB"/>
              </w:rPr>
              <w:t xml:space="preserve">Participants’ mean age was 53 years, a majority were women (76%) and married (90%); 51% had completed a college degree. 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  <w:lang w:val="en-GB"/>
              </w:rPr>
              <w:t xml:space="preserve">All families had mobile phones, and more than 90% of these families had access to internet through mobile phones. </w:t>
            </w:r>
            <w:r w:rsidRPr="001256C8">
              <w:rPr>
                <w:rFonts w:ascii="Arial" w:hAnsi="Arial" w:cs="Arial"/>
                <w:bCs/>
                <w:color w:val="auto"/>
                <w:sz w:val="22"/>
                <w:szCs w:val="22"/>
                <w:lang w:val="en-GB"/>
              </w:rPr>
              <w:t xml:space="preserve">The intervention group had </w:t>
            </w:r>
            <w:r w:rsidRPr="001256C8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significant net mean changes of -12.5, -11.4</w:t>
            </w:r>
            <w:r w:rsidRPr="001256C8">
              <w:rPr>
                <w:rFonts w:ascii="Arial" w:eastAsia="Times New Roman" w:hAnsi="Arial" w:cs="Arial"/>
                <w:color w:val="auto"/>
                <w:sz w:val="22"/>
                <w:szCs w:val="22"/>
                <w:lang w:val="en-GB"/>
              </w:rPr>
              <w:t>,</w:t>
            </w:r>
            <w:r w:rsidRPr="001256C8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 -0.5</w:t>
            </w:r>
            <w:r w:rsidRPr="001256C8">
              <w:rPr>
                <w:rFonts w:ascii="Arial" w:eastAsia="Times New Roman" w:hAnsi="Arial" w:cs="Arial"/>
                <w:color w:val="auto"/>
                <w:sz w:val="22"/>
                <w:szCs w:val="22"/>
                <w:lang w:val="en-GB"/>
              </w:rPr>
              <w:t>, and +</w:t>
            </w:r>
            <w:r w:rsidRPr="001256C8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71.6 g/day in the intake of fat, sugar, salt, and fruit &amp; vegetables, respectively; the net relative percentage change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s</w:t>
            </w:r>
            <w:r w:rsidRPr="001256C8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 w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ere 12%, 23%, 4%, and</w:t>
            </w:r>
            <w:r w:rsidRPr="001256C8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 20%, respectively.</w:t>
            </w:r>
            <w:r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 xml:space="preserve"> Similarly,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59075E">
              <w:rPr>
                <w:rFonts w:ascii="Arial" w:hAnsi="Arial" w:cs="Arial"/>
                <w:bCs/>
                <w:sz w:val="22"/>
                <w:szCs w:val="22"/>
              </w:rPr>
              <w:t xml:space="preserve">ignificant net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changes occurred for secondary outcomes: </w:t>
            </w:r>
            <w:r w:rsidRPr="0059075E">
              <w:rPr>
                <w:rFonts w:ascii="Arial" w:hAnsi="Arial" w:cs="Arial"/>
                <w:bCs/>
                <w:sz w:val="22"/>
                <w:szCs w:val="22"/>
              </w:rPr>
              <w:t xml:space="preserve"> BMI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= </w:t>
            </w:r>
            <w:r w:rsidRPr="0059075E">
              <w:rPr>
                <w:rFonts w:ascii="Arial" w:hAnsi="Arial" w:cs="Arial"/>
                <w:bCs/>
                <w:sz w:val="22"/>
                <w:szCs w:val="22"/>
              </w:rPr>
              <w:t>-0.25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59075E">
              <w:rPr>
                <w:rFonts w:ascii="Arial" w:hAnsi="Arial" w:cs="Arial"/>
                <w:bCs/>
                <w:sz w:val="22"/>
                <w:szCs w:val="22"/>
              </w:rPr>
              <w:t>kg/m</w:t>
            </w:r>
            <w:r w:rsidRPr="0059075E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</w:t>
            </w:r>
            <w:r w:rsidRPr="0059075E">
              <w:rPr>
                <w:rFonts w:ascii="Arial" w:hAnsi="Arial" w:cs="Arial"/>
                <w:bCs/>
                <w:sz w:val="22"/>
                <w:szCs w:val="22"/>
              </w:rPr>
              <w:t>, diastolic blood pressure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= </w:t>
            </w:r>
            <w:r w:rsidRPr="0059075E">
              <w:rPr>
                <w:rFonts w:ascii="Arial" w:hAnsi="Arial" w:cs="Arial"/>
                <w:bCs/>
                <w:sz w:val="22"/>
                <w:szCs w:val="22"/>
              </w:rPr>
              <w:t xml:space="preserve">-2.77 mm Hg,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and </w:t>
            </w:r>
            <w:r w:rsidRPr="0059075E">
              <w:rPr>
                <w:rFonts w:ascii="Arial" w:hAnsi="Arial" w:cs="Arial"/>
                <w:bCs/>
                <w:sz w:val="22"/>
                <w:szCs w:val="22"/>
              </w:rPr>
              <w:t>FPG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= </w:t>
            </w:r>
            <w:r w:rsidRPr="0059075E">
              <w:rPr>
                <w:rFonts w:ascii="Arial" w:hAnsi="Arial" w:cs="Arial"/>
                <w:bCs/>
                <w:sz w:val="22"/>
                <w:szCs w:val="22"/>
              </w:rPr>
              <w:t>-5.7 mg/dl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50AC5FF8" w14:textId="77777777" w:rsidR="00554E5C" w:rsidRPr="001256C8" w:rsidRDefault="00554E5C" w:rsidP="00554E5C">
            <w:pPr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 w:rsidRPr="001256C8">
              <w:rPr>
                <w:rFonts w:ascii="Arial" w:hAnsi="Arial" w:cs="Arial"/>
                <w:b/>
                <w:shd w:val="clear" w:color="auto" w:fill="FFFFFF"/>
              </w:rPr>
              <w:t>Discussion</w:t>
            </w:r>
          </w:p>
          <w:p w14:paraId="7FEAA08E" w14:textId="77777777" w:rsidR="00554E5C" w:rsidRDefault="00554E5C" w:rsidP="00554E5C">
            <w:pPr>
              <w:pStyle w:val="Default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en-GB"/>
              </w:rPr>
            </w:pPr>
            <w:r w:rsidRPr="001256C8">
              <w:rPr>
                <w:rFonts w:ascii="Arial" w:hAnsi="Arial" w:cs="Arial"/>
                <w:bCs/>
                <w:color w:val="auto"/>
                <w:sz w:val="22"/>
                <w:szCs w:val="22"/>
                <w:lang w:val="en-GB"/>
              </w:rPr>
              <w:t xml:space="preserve">This IT-enabled ‘SMART Eating’ intervention that used multi-channel communication was found to be effective. The net effect on the salt intake in this intervention was lower than the studies that focused only on salt reduction. 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  <w:lang w:val="en-GB"/>
              </w:rPr>
              <w:t>The</w:t>
            </w:r>
            <w:r w:rsidRPr="001256C8">
              <w:rPr>
                <w:rFonts w:ascii="Arial" w:hAnsi="Arial" w:cs="Arial"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  <w:lang w:val="en-GB"/>
              </w:rPr>
              <w:t>effectiveness of this</w:t>
            </w:r>
            <w:r w:rsidRPr="001256C8">
              <w:rPr>
                <w:rFonts w:ascii="Arial" w:hAnsi="Arial" w:cs="Arial"/>
                <w:bCs/>
                <w:color w:val="auto"/>
                <w:sz w:val="22"/>
                <w:szCs w:val="22"/>
                <w:lang w:val="en-GB"/>
              </w:rPr>
              <w:t xml:space="preserve"> comprehensive intervention package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  <w:lang w:val="en-GB"/>
              </w:rPr>
              <w:t>,</w:t>
            </w:r>
            <w:r w:rsidRPr="001256C8">
              <w:rPr>
                <w:rFonts w:ascii="Arial" w:hAnsi="Arial" w:cs="Arial"/>
                <w:bCs/>
                <w:color w:val="auto"/>
                <w:sz w:val="22"/>
                <w:szCs w:val="22"/>
                <w:lang w:val="en-GB"/>
              </w:rPr>
              <w:t xml:space="preserve"> tested in 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  <w:lang w:val="en-GB"/>
              </w:rPr>
              <w:t>a controlled setting,</w:t>
            </w:r>
            <w:r w:rsidRPr="0080469C">
              <w:rPr>
                <w:rFonts w:ascii="Arial" w:hAnsi="Arial" w:cs="Arial"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  <w:lang w:val="en-GB"/>
              </w:rPr>
              <w:t>needs to be explored through implementation research before its potential scale up.</w:t>
            </w:r>
          </w:p>
          <w:p w14:paraId="671E6444" w14:textId="77777777" w:rsidR="00554E5C" w:rsidRDefault="00554E5C" w:rsidP="00554E5C">
            <w:pPr>
              <w:pStyle w:val="Default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en-GB"/>
              </w:rPr>
            </w:pPr>
          </w:p>
          <w:p w14:paraId="13F96823" w14:textId="77777777" w:rsidR="00554E5C" w:rsidRDefault="00554E5C" w:rsidP="00554E5C">
            <w:pPr>
              <w:pStyle w:val="Default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val="en-GB"/>
              </w:rPr>
              <w:t>Keywords: Adult, Urban, Comprehensive package.</w:t>
            </w:r>
          </w:p>
          <w:p w14:paraId="5A4DE25F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0" w14:textId="04384C95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854E6E" w14:textId="77777777" w:rsidR="00234EAA" w:rsidRDefault="00234EA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1" w14:textId="675A1840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211765"/>
    <w:rsid w:val="00230B21"/>
    <w:rsid w:val="00234EAA"/>
    <w:rsid w:val="00242808"/>
    <w:rsid w:val="00294265"/>
    <w:rsid w:val="002B7FC8"/>
    <w:rsid w:val="002F34DB"/>
    <w:rsid w:val="00317FFE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54E5C"/>
    <w:rsid w:val="00564331"/>
    <w:rsid w:val="00590824"/>
    <w:rsid w:val="005F7DC7"/>
    <w:rsid w:val="006605DB"/>
    <w:rsid w:val="00663BFF"/>
    <w:rsid w:val="006C6E32"/>
    <w:rsid w:val="0070252B"/>
    <w:rsid w:val="00714C46"/>
    <w:rsid w:val="007A2A9C"/>
    <w:rsid w:val="007E61BA"/>
    <w:rsid w:val="0082392D"/>
    <w:rsid w:val="008874BF"/>
    <w:rsid w:val="008C05AC"/>
    <w:rsid w:val="008C05C1"/>
    <w:rsid w:val="00932377"/>
    <w:rsid w:val="009579B1"/>
    <w:rsid w:val="009B7881"/>
    <w:rsid w:val="00A112C8"/>
    <w:rsid w:val="00A1780F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NoSpacing">
    <w:name w:val="No Spacing"/>
    <w:uiPriority w:val="1"/>
    <w:qFormat/>
    <w:rsid w:val="00554E5C"/>
    <w:rPr>
      <w:rFonts w:asciiTheme="minorHAnsi" w:eastAsiaTheme="minorEastAsia" w:hAnsiTheme="minorHAnsi" w:cstheme="minorBidi"/>
      <w:sz w:val="22"/>
      <w:szCs w:val="22"/>
      <w:lang w:val="en-IN" w:eastAsia="en-IN"/>
    </w:rPr>
  </w:style>
  <w:style w:type="paragraph" w:customStyle="1" w:styleId="Default">
    <w:name w:val="Default"/>
    <w:uiPriority w:val="99"/>
    <w:rsid w:val="00554E5C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E25D47-F11B-40E6-9F09-4FD29F632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9c8a2b7b-0bee-4c48-b0a6-23db8982d3bc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2018-09-02T01:36:00Z</dcterms:created>
  <dcterms:modified xsi:type="dcterms:W3CDTF">2018-09-02T01:36:00Z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