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00512994" w:rsidR="00C8423A" w:rsidRPr="005A6F48" w:rsidRDefault="005A6F48" w:rsidP="00706DED">
            <w:pPr>
              <w:jc w:val="both"/>
              <w:rPr>
                <w:rFonts w:ascii="Arial" w:hAnsi="Arial" w:cs="Arial"/>
                <w:bCs/>
                <w:i/>
                <w:iCs/>
                <w:sz w:val="22"/>
                <w:szCs w:val="22"/>
              </w:rPr>
            </w:pPr>
            <w:r w:rsidRPr="005A6F48">
              <w:rPr>
                <w:rFonts w:ascii="Arial" w:hAnsi="Arial" w:cs="Arial"/>
                <w:bCs/>
                <w:i/>
                <w:iCs/>
                <w:sz w:val="22"/>
                <w:szCs w:val="22"/>
              </w:rPr>
              <w:t>Paper</w:t>
            </w:r>
          </w:p>
          <w:p w14:paraId="657C71D3" w14:textId="77777777" w:rsidR="00C8423A" w:rsidRPr="005A6F48" w:rsidRDefault="00364DD3" w:rsidP="002F0289">
            <w:pPr>
              <w:jc w:val="both"/>
              <w:rPr>
                <w:rFonts w:ascii="Arial" w:hAnsi="Arial" w:cs="Arial"/>
                <w:b/>
                <w:sz w:val="22"/>
                <w:szCs w:val="22"/>
              </w:rPr>
            </w:pPr>
            <w:r w:rsidRPr="005A6F48">
              <w:rPr>
                <w:rFonts w:ascii="Arial" w:hAnsi="Arial" w:cs="Arial"/>
                <w:b/>
                <w:sz w:val="22"/>
                <w:szCs w:val="22"/>
              </w:rPr>
              <w:t>Identifying summer energy poverty and associated public health risks in a changing temperate climate</w:t>
            </w:r>
          </w:p>
          <w:p w14:paraId="3F7D1534" w14:textId="204F283A" w:rsidR="005A6F48" w:rsidRPr="00A561B4" w:rsidRDefault="005A6F48" w:rsidP="002F0289">
            <w:pPr>
              <w:jc w:val="both"/>
              <w:rPr>
                <w:rFonts w:ascii="Arial" w:hAnsi="Arial" w:cs="Arial"/>
                <w:bCs/>
                <w:sz w:val="22"/>
                <w:szCs w:val="22"/>
              </w:rPr>
            </w:pPr>
          </w:p>
        </w:tc>
      </w:tr>
      <w:tr w:rsidR="00C8423A" w:rsidRPr="0003525D" w14:paraId="1A1C8C63" w14:textId="77777777" w:rsidTr="002F0289">
        <w:trPr>
          <w:trHeight w:val="1125"/>
        </w:trPr>
        <w:tc>
          <w:tcPr>
            <w:tcW w:w="8640" w:type="dxa"/>
          </w:tcPr>
          <w:p w14:paraId="3EFF41C5" w14:textId="77777777" w:rsidR="005A6F48" w:rsidRDefault="005A6F48" w:rsidP="00706DED">
            <w:pPr>
              <w:jc w:val="both"/>
              <w:rPr>
                <w:rFonts w:ascii="Arial" w:hAnsi="Arial" w:cs="Arial"/>
                <w:b/>
                <w:sz w:val="22"/>
                <w:szCs w:val="22"/>
              </w:rPr>
            </w:pPr>
          </w:p>
          <w:p w14:paraId="131A5F05" w14:textId="5C6F904A"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7B49EA40" w14:textId="77777777" w:rsidR="00744C36" w:rsidRDefault="00744C36" w:rsidP="00706DED">
            <w:pPr>
              <w:jc w:val="both"/>
              <w:rPr>
                <w:rFonts w:ascii="Arial" w:hAnsi="Arial" w:cs="Arial"/>
                <w:bCs/>
                <w:sz w:val="22"/>
                <w:szCs w:val="22"/>
              </w:rPr>
            </w:pPr>
            <w:r w:rsidRPr="00744C36">
              <w:rPr>
                <w:rFonts w:ascii="Arial" w:hAnsi="Arial" w:cs="Arial"/>
                <w:bCs/>
                <w:sz w:val="22"/>
                <w:szCs w:val="22"/>
              </w:rPr>
              <w:t>Rising summer temperatures driven by climate change are challenging homes in temperate climates, which are primarily designed for winter heat retention and often lack adequate cooling mechanisms. New Zealand now faces emerging challenges related to indoor overheating and a growing energy demand for domestic cooling. These issues contribute to summer energy poverty and pose significant public health risks.</w:t>
            </w:r>
          </w:p>
          <w:p w14:paraId="2DE7BD99" w14:textId="77777777" w:rsidR="005A6F48" w:rsidRDefault="005A6F48" w:rsidP="00706DED">
            <w:pPr>
              <w:jc w:val="both"/>
              <w:rPr>
                <w:rFonts w:ascii="Arial" w:hAnsi="Arial" w:cs="Arial"/>
                <w:bCs/>
                <w:sz w:val="22"/>
                <w:szCs w:val="22"/>
              </w:rPr>
            </w:pPr>
          </w:p>
          <w:p w14:paraId="5DE13B32" w14:textId="799C4682"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6CF605E" w14:textId="2CE5EE39" w:rsidR="00744C36" w:rsidRDefault="00744C36" w:rsidP="00706DED">
            <w:pPr>
              <w:jc w:val="both"/>
              <w:rPr>
                <w:rFonts w:ascii="Arial" w:hAnsi="Arial" w:cs="Arial"/>
                <w:bCs/>
                <w:sz w:val="22"/>
                <w:szCs w:val="22"/>
              </w:rPr>
            </w:pPr>
            <w:r w:rsidRPr="00744C36">
              <w:rPr>
                <w:rFonts w:ascii="Arial" w:hAnsi="Arial" w:cs="Arial"/>
                <w:bCs/>
                <w:sz w:val="22"/>
                <w:szCs w:val="22"/>
              </w:rPr>
              <w:t xml:space="preserve">This study investigates the health risks associated with indoor overheating and the impacts of summer energy poverty in New Zealand. It examines how these challenges vary across populations and disproportionately affect vulnerable groups, such as renters, indigenous Māori, </w:t>
            </w:r>
            <w:r>
              <w:rPr>
                <w:rFonts w:ascii="Arial" w:hAnsi="Arial" w:cs="Arial"/>
                <w:bCs/>
                <w:sz w:val="22"/>
                <w:szCs w:val="22"/>
              </w:rPr>
              <w:t xml:space="preserve">females, </w:t>
            </w:r>
            <w:r w:rsidRPr="00744C36">
              <w:rPr>
                <w:rFonts w:ascii="Arial" w:hAnsi="Arial" w:cs="Arial"/>
                <w:bCs/>
                <w:sz w:val="22"/>
                <w:szCs w:val="22"/>
              </w:rPr>
              <w:t>and older people.</w:t>
            </w:r>
          </w:p>
          <w:p w14:paraId="6A2E5BE6" w14:textId="77777777" w:rsidR="005A6F48" w:rsidRDefault="005A6F48" w:rsidP="00706DED">
            <w:pPr>
              <w:jc w:val="both"/>
              <w:rPr>
                <w:rFonts w:ascii="Arial" w:hAnsi="Arial" w:cs="Arial"/>
                <w:bCs/>
                <w:sz w:val="22"/>
                <w:szCs w:val="22"/>
              </w:rPr>
            </w:pPr>
          </w:p>
          <w:p w14:paraId="457D2D05" w14:textId="41961C7B"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6BE835B1" w14:textId="77777777" w:rsidR="00705000" w:rsidRDefault="00705000" w:rsidP="00706DED">
            <w:pPr>
              <w:jc w:val="both"/>
              <w:rPr>
                <w:rFonts w:ascii="Arial" w:hAnsi="Arial" w:cs="Arial"/>
                <w:bCs/>
                <w:sz w:val="22"/>
                <w:szCs w:val="22"/>
              </w:rPr>
            </w:pPr>
            <w:r w:rsidRPr="00705000">
              <w:rPr>
                <w:rFonts w:ascii="Arial" w:hAnsi="Arial" w:cs="Arial"/>
                <w:bCs/>
                <w:sz w:val="22"/>
                <w:szCs w:val="22"/>
              </w:rPr>
              <w:t>We report on results from a cross-sectional postal survey conducted during Summer 2021/2022 in five regions of New Zealand that typically experience some of the highest temperatures nationally. The survey gathered self-reported data on overheating, heat-related health effects, barriers to cooling, and energy hardship. The quantitative analysis employs both descriptive and regression techniques to assess whether renters, Māori households, older people, females, and households with members from vulnerable age groups (0–17 and 65+) are disproportionately affected by overheating, summer energy poverty, and related health and wellbeing effects.</w:t>
            </w:r>
          </w:p>
          <w:p w14:paraId="7E962C79" w14:textId="77777777" w:rsidR="005A6F48" w:rsidRDefault="005A6F48" w:rsidP="00706DED">
            <w:pPr>
              <w:jc w:val="both"/>
              <w:rPr>
                <w:rFonts w:ascii="Arial" w:hAnsi="Arial" w:cs="Arial"/>
                <w:bCs/>
                <w:sz w:val="22"/>
                <w:szCs w:val="22"/>
              </w:rPr>
            </w:pPr>
          </w:p>
          <w:p w14:paraId="62DAA8AE" w14:textId="598C06A8"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7D5108B" w14:textId="4F817673" w:rsidR="00E17E3F" w:rsidRDefault="005615B8" w:rsidP="00706DED">
            <w:pPr>
              <w:jc w:val="both"/>
              <w:rPr>
                <w:rFonts w:ascii="Arial" w:hAnsi="Arial" w:cs="Arial"/>
                <w:bCs/>
                <w:sz w:val="22"/>
                <w:szCs w:val="22"/>
              </w:rPr>
            </w:pPr>
            <w:r w:rsidRPr="005615B8">
              <w:rPr>
                <w:rFonts w:ascii="Arial" w:hAnsi="Arial" w:cs="Arial"/>
                <w:bCs/>
                <w:sz w:val="22"/>
                <w:szCs w:val="22"/>
              </w:rPr>
              <w:t>A total of 219 people responded to the survey, with nearly 75% reporting indoor overheating</w:t>
            </w:r>
            <w:r w:rsidR="00E17E3F" w:rsidRPr="00E17E3F">
              <w:rPr>
                <w:rFonts w:ascii="Arial" w:hAnsi="Arial" w:cs="Arial"/>
                <w:bCs/>
                <w:sz w:val="22"/>
                <w:szCs w:val="22"/>
              </w:rPr>
              <w:t xml:space="preserve">. Overall, 43% identified cost as a barrier to cooling their homes, with renters being nearly three times more likely than owner-occupiers to report this. </w:t>
            </w:r>
            <w:r w:rsidR="00875508" w:rsidRPr="00875508">
              <w:rPr>
                <w:rFonts w:ascii="Arial" w:hAnsi="Arial" w:cs="Arial"/>
                <w:bCs/>
                <w:sz w:val="22"/>
                <w:szCs w:val="22"/>
              </w:rPr>
              <w:t>Sixty-three percent</w:t>
            </w:r>
            <w:r w:rsidR="00875508">
              <w:rPr>
                <w:rFonts w:ascii="Arial" w:hAnsi="Arial" w:cs="Arial"/>
                <w:bCs/>
                <w:sz w:val="22"/>
                <w:szCs w:val="22"/>
              </w:rPr>
              <w:t xml:space="preserve"> </w:t>
            </w:r>
            <w:r w:rsidR="00E17E3F" w:rsidRPr="00E17E3F">
              <w:rPr>
                <w:rFonts w:ascii="Arial" w:hAnsi="Arial" w:cs="Arial"/>
                <w:bCs/>
                <w:sz w:val="22"/>
                <w:szCs w:val="22"/>
              </w:rPr>
              <w:t xml:space="preserve">of respondents experienced adverse health outcomes. Households citing cost as a barrier </w:t>
            </w:r>
            <w:r w:rsidR="00875508">
              <w:rPr>
                <w:rFonts w:ascii="Arial" w:hAnsi="Arial" w:cs="Arial"/>
                <w:bCs/>
                <w:sz w:val="22"/>
                <w:szCs w:val="22"/>
              </w:rPr>
              <w:t xml:space="preserve">to cooling </w:t>
            </w:r>
            <w:r w:rsidR="00E17E3F" w:rsidRPr="00E17E3F">
              <w:rPr>
                <w:rFonts w:ascii="Arial" w:hAnsi="Arial" w:cs="Arial"/>
                <w:bCs/>
                <w:sz w:val="22"/>
                <w:szCs w:val="22"/>
              </w:rPr>
              <w:t xml:space="preserve">were 6.64 times more likely to experience heat-induced negative mental health effects, 2.87 times more likely to experience signs and symptoms of heat illnesses, and 3.64 times more likely to experience sleep disturbances. These effects were more pronounced among renters and Māori households, while female </w:t>
            </w:r>
            <w:r w:rsidR="00383574" w:rsidRPr="00383574">
              <w:rPr>
                <w:rFonts w:ascii="Arial" w:hAnsi="Arial" w:cs="Arial"/>
                <w:bCs/>
                <w:sz w:val="22"/>
                <w:szCs w:val="22"/>
              </w:rPr>
              <w:t>participants were over twice as likely as males to report mental health effects</w:t>
            </w:r>
            <w:r w:rsidR="005808A5">
              <w:rPr>
                <w:rFonts w:ascii="Arial" w:hAnsi="Arial" w:cs="Arial"/>
                <w:bCs/>
                <w:sz w:val="22"/>
                <w:szCs w:val="22"/>
              </w:rPr>
              <w:t>.</w:t>
            </w:r>
          </w:p>
          <w:p w14:paraId="27942218" w14:textId="77777777" w:rsidR="005A6F48" w:rsidRDefault="005A6F48" w:rsidP="00706DED">
            <w:pPr>
              <w:jc w:val="both"/>
              <w:rPr>
                <w:rFonts w:ascii="Arial" w:hAnsi="Arial" w:cs="Arial"/>
                <w:bCs/>
                <w:sz w:val="22"/>
                <w:szCs w:val="22"/>
              </w:rPr>
            </w:pPr>
          </w:p>
          <w:p w14:paraId="261EC656" w14:textId="65D7EE12"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2CBAECD6" w14:textId="4D5BA1DB" w:rsidR="009F4EA0" w:rsidRPr="005A6F48" w:rsidRDefault="00C468DA" w:rsidP="005A6F48">
            <w:pPr>
              <w:jc w:val="both"/>
              <w:rPr>
                <w:rFonts w:ascii="Arial" w:hAnsi="Arial" w:cs="Arial"/>
                <w:bCs/>
                <w:sz w:val="22"/>
                <w:szCs w:val="22"/>
              </w:rPr>
            </w:pPr>
            <w:r w:rsidRPr="00C468DA">
              <w:rPr>
                <w:rFonts w:ascii="Arial" w:hAnsi="Arial" w:cs="Arial"/>
                <w:bCs/>
                <w:sz w:val="22"/>
                <w:szCs w:val="22"/>
              </w:rPr>
              <w:t>Our study underscores the need to broaden New Zealand's building regulations to promote designs that ensure year-round thermal comfort and bolster resilience against rising temperatures</w:t>
            </w:r>
            <w:r w:rsidR="00D56266" w:rsidRPr="00D56266">
              <w:rPr>
                <w:rFonts w:ascii="Arial" w:hAnsi="Arial" w:cs="Arial"/>
                <w:bCs/>
                <w:sz w:val="22"/>
                <w:szCs w:val="22"/>
              </w:rPr>
              <w:t>.</w:t>
            </w:r>
            <w:r w:rsidR="00D56266">
              <w:rPr>
                <w:rFonts w:ascii="Arial" w:hAnsi="Arial" w:cs="Arial"/>
                <w:bCs/>
                <w:sz w:val="22"/>
                <w:szCs w:val="22"/>
              </w:rPr>
              <w:t xml:space="preserve"> </w:t>
            </w:r>
            <w:r w:rsidR="00F94A6E">
              <w:rPr>
                <w:rFonts w:ascii="Arial" w:hAnsi="Arial" w:cs="Arial"/>
                <w:bCs/>
                <w:sz w:val="22"/>
                <w:szCs w:val="22"/>
              </w:rPr>
              <w:t xml:space="preserve">Updated building </w:t>
            </w:r>
            <w:r w:rsidR="00FB198D" w:rsidRPr="00FB198D">
              <w:rPr>
                <w:rFonts w:ascii="Arial" w:hAnsi="Arial" w:cs="Arial"/>
                <w:bCs/>
                <w:sz w:val="22"/>
                <w:szCs w:val="22"/>
              </w:rPr>
              <w:t xml:space="preserve">codes and standards </w:t>
            </w:r>
            <w:r w:rsidR="00BA6144">
              <w:rPr>
                <w:rFonts w:ascii="Arial" w:hAnsi="Arial" w:cs="Arial"/>
                <w:bCs/>
                <w:sz w:val="22"/>
                <w:szCs w:val="22"/>
              </w:rPr>
              <w:t>should mandate</w:t>
            </w:r>
            <w:r w:rsidR="00FB198D" w:rsidRPr="00FB198D">
              <w:rPr>
                <w:rFonts w:ascii="Arial" w:hAnsi="Arial" w:cs="Arial"/>
                <w:bCs/>
                <w:sz w:val="22"/>
                <w:szCs w:val="22"/>
              </w:rPr>
              <w:t xml:space="preserve"> features </w:t>
            </w:r>
            <w:r w:rsidR="00BA6144">
              <w:rPr>
                <w:rFonts w:ascii="Arial" w:hAnsi="Arial" w:cs="Arial"/>
                <w:bCs/>
                <w:sz w:val="22"/>
                <w:szCs w:val="22"/>
              </w:rPr>
              <w:t>that mitigate</w:t>
            </w:r>
            <w:r w:rsidR="00FB198D" w:rsidRPr="00FB198D">
              <w:rPr>
                <w:rFonts w:ascii="Arial" w:hAnsi="Arial" w:cs="Arial"/>
                <w:bCs/>
                <w:sz w:val="22"/>
                <w:szCs w:val="22"/>
              </w:rPr>
              <w:t xml:space="preserve"> overheating risks, </w:t>
            </w:r>
            <w:r w:rsidR="00BA6144">
              <w:rPr>
                <w:rFonts w:ascii="Arial" w:hAnsi="Arial" w:cs="Arial"/>
                <w:bCs/>
                <w:sz w:val="22"/>
                <w:szCs w:val="22"/>
              </w:rPr>
              <w:t>such as</w:t>
            </w:r>
            <w:r w:rsidR="00FB198D" w:rsidRPr="00FB198D">
              <w:rPr>
                <w:rFonts w:ascii="Arial" w:hAnsi="Arial" w:cs="Arial"/>
                <w:bCs/>
                <w:sz w:val="22"/>
                <w:szCs w:val="22"/>
              </w:rPr>
              <w:t xml:space="preserve"> solar gain control and enhanced ventilation solutions</w:t>
            </w:r>
            <w:r w:rsidR="00BE0D61">
              <w:rPr>
                <w:rFonts w:ascii="Arial" w:hAnsi="Arial" w:cs="Arial"/>
                <w:bCs/>
                <w:sz w:val="22"/>
                <w:szCs w:val="22"/>
              </w:rPr>
              <w:t>.</w:t>
            </w:r>
            <w:r w:rsidR="00BA6144">
              <w:rPr>
                <w:rFonts w:ascii="Arial" w:hAnsi="Arial" w:cs="Arial"/>
                <w:bCs/>
                <w:sz w:val="22"/>
                <w:szCs w:val="22"/>
              </w:rPr>
              <w:t xml:space="preserve"> Providing</w:t>
            </w:r>
            <w:r w:rsidR="00F94A6E" w:rsidRPr="00F94A6E">
              <w:rPr>
                <w:rFonts w:ascii="Arial" w:hAnsi="Arial" w:cs="Arial"/>
                <w:bCs/>
                <w:sz w:val="22"/>
                <w:szCs w:val="22"/>
                <w:lang w:val="en-CA"/>
              </w:rPr>
              <w:t xml:space="preserve"> technical and financial support to vulnerable populations is crucial. Effective interventions must integrate urban planning and building design strategies at local and regional levels</w:t>
            </w:r>
            <w:r w:rsidR="00123FCF">
              <w:rPr>
                <w:rFonts w:ascii="Arial" w:hAnsi="Arial" w:cs="Arial"/>
                <w:bCs/>
                <w:sz w:val="22"/>
                <w:szCs w:val="22"/>
                <w:lang w:val="en-CA"/>
              </w:rPr>
              <w:t>. C</w:t>
            </w:r>
            <w:r w:rsidR="00F94A6E" w:rsidRPr="00F94A6E">
              <w:rPr>
                <w:rFonts w:ascii="Arial" w:hAnsi="Arial" w:cs="Arial"/>
                <w:bCs/>
                <w:sz w:val="22"/>
                <w:szCs w:val="22"/>
                <w:lang w:val="en-CA"/>
              </w:rPr>
              <w:t>ollaboration among policymakers, building professionals, and community stakeholders is essential</w:t>
            </w:r>
            <w:r w:rsidR="00FB198D" w:rsidRPr="00FB198D">
              <w:rPr>
                <w:rFonts w:ascii="Arial" w:hAnsi="Arial" w:cs="Arial"/>
                <w:bCs/>
                <w:sz w:val="22"/>
                <w:szCs w:val="22"/>
              </w:rPr>
              <w:t xml:space="preserve"> to ensure that new standards and initiatives are culturally responsive and tailored to the needs of </w:t>
            </w:r>
            <w:r w:rsidR="00FE383C">
              <w:rPr>
                <w:rFonts w:ascii="Arial" w:hAnsi="Arial" w:cs="Arial"/>
                <w:bCs/>
                <w:sz w:val="22"/>
                <w:szCs w:val="22"/>
              </w:rPr>
              <w:t xml:space="preserve">the most affected </w:t>
            </w:r>
            <w:r w:rsidR="00214134">
              <w:rPr>
                <w:rFonts w:ascii="Arial" w:hAnsi="Arial" w:cs="Arial"/>
                <w:bCs/>
                <w:sz w:val="22"/>
                <w:szCs w:val="22"/>
              </w:rPr>
              <w:t>groups</w:t>
            </w:r>
            <w:r w:rsidR="00FB198D" w:rsidRPr="00FB198D">
              <w:rPr>
                <w:rFonts w:ascii="Arial" w:hAnsi="Arial" w:cs="Arial"/>
                <w:bCs/>
                <w:sz w:val="22"/>
                <w:szCs w:val="22"/>
              </w:rPr>
              <w:t xml:space="preserve">. </w:t>
            </w: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4026"/>
    <w:rsid w:val="00024471"/>
    <w:rsid w:val="00033F91"/>
    <w:rsid w:val="00034B27"/>
    <w:rsid w:val="000452C5"/>
    <w:rsid w:val="000454E9"/>
    <w:rsid w:val="000A231C"/>
    <w:rsid w:val="000A3515"/>
    <w:rsid w:val="000E7827"/>
    <w:rsid w:val="000F5FEA"/>
    <w:rsid w:val="00105E39"/>
    <w:rsid w:val="00114732"/>
    <w:rsid w:val="00114B91"/>
    <w:rsid w:val="00123FCF"/>
    <w:rsid w:val="00132AE5"/>
    <w:rsid w:val="0013307F"/>
    <w:rsid w:val="00155315"/>
    <w:rsid w:val="00160EFD"/>
    <w:rsid w:val="0017727B"/>
    <w:rsid w:val="00196306"/>
    <w:rsid w:val="001C40CA"/>
    <w:rsid w:val="001F5E0E"/>
    <w:rsid w:val="00214134"/>
    <w:rsid w:val="00247C60"/>
    <w:rsid w:val="00256963"/>
    <w:rsid w:val="00276B0C"/>
    <w:rsid w:val="00286768"/>
    <w:rsid w:val="002A073C"/>
    <w:rsid w:val="002D76A7"/>
    <w:rsid w:val="002E3AA3"/>
    <w:rsid w:val="002F0289"/>
    <w:rsid w:val="00304651"/>
    <w:rsid w:val="00317356"/>
    <w:rsid w:val="00320733"/>
    <w:rsid w:val="0034503D"/>
    <w:rsid w:val="00354C31"/>
    <w:rsid w:val="00364DD3"/>
    <w:rsid w:val="00375B20"/>
    <w:rsid w:val="00383574"/>
    <w:rsid w:val="00386D01"/>
    <w:rsid w:val="003B293E"/>
    <w:rsid w:val="003B5D2D"/>
    <w:rsid w:val="003C7A48"/>
    <w:rsid w:val="003D67C8"/>
    <w:rsid w:val="004049E7"/>
    <w:rsid w:val="0041670C"/>
    <w:rsid w:val="00462B90"/>
    <w:rsid w:val="004828A0"/>
    <w:rsid w:val="0049463F"/>
    <w:rsid w:val="004946E9"/>
    <w:rsid w:val="004B365B"/>
    <w:rsid w:val="004B69C7"/>
    <w:rsid w:val="004B7AA9"/>
    <w:rsid w:val="004C01EA"/>
    <w:rsid w:val="004C55E6"/>
    <w:rsid w:val="004D193B"/>
    <w:rsid w:val="004F4CE8"/>
    <w:rsid w:val="004F5C81"/>
    <w:rsid w:val="0053222C"/>
    <w:rsid w:val="005469BD"/>
    <w:rsid w:val="00550B17"/>
    <w:rsid w:val="00554598"/>
    <w:rsid w:val="005615B8"/>
    <w:rsid w:val="005808A5"/>
    <w:rsid w:val="005854B8"/>
    <w:rsid w:val="005A6F48"/>
    <w:rsid w:val="005B2A43"/>
    <w:rsid w:val="005B754F"/>
    <w:rsid w:val="005E003E"/>
    <w:rsid w:val="0065012F"/>
    <w:rsid w:val="006559F3"/>
    <w:rsid w:val="0068043B"/>
    <w:rsid w:val="00681CA7"/>
    <w:rsid w:val="006936F0"/>
    <w:rsid w:val="006C1589"/>
    <w:rsid w:val="00705000"/>
    <w:rsid w:val="00710646"/>
    <w:rsid w:val="00744C36"/>
    <w:rsid w:val="00751D33"/>
    <w:rsid w:val="00754F24"/>
    <w:rsid w:val="00792A6A"/>
    <w:rsid w:val="007973F5"/>
    <w:rsid w:val="007A001B"/>
    <w:rsid w:val="007E3DE6"/>
    <w:rsid w:val="00822CB1"/>
    <w:rsid w:val="008235E8"/>
    <w:rsid w:val="00851A18"/>
    <w:rsid w:val="00851DBE"/>
    <w:rsid w:val="008522B9"/>
    <w:rsid w:val="00871A29"/>
    <w:rsid w:val="00875508"/>
    <w:rsid w:val="008773DF"/>
    <w:rsid w:val="0088118F"/>
    <w:rsid w:val="008A370E"/>
    <w:rsid w:val="008B01BA"/>
    <w:rsid w:val="008B50A0"/>
    <w:rsid w:val="008C0C35"/>
    <w:rsid w:val="008C22AD"/>
    <w:rsid w:val="008C2633"/>
    <w:rsid w:val="008E3D8D"/>
    <w:rsid w:val="008F2F93"/>
    <w:rsid w:val="008F5E36"/>
    <w:rsid w:val="009010B0"/>
    <w:rsid w:val="00906B39"/>
    <w:rsid w:val="00955EDB"/>
    <w:rsid w:val="00963443"/>
    <w:rsid w:val="009C1E9C"/>
    <w:rsid w:val="009C374A"/>
    <w:rsid w:val="009D41B9"/>
    <w:rsid w:val="009D75A1"/>
    <w:rsid w:val="009F0115"/>
    <w:rsid w:val="009F4EA0"/>
    <w:rsid w:val="00A07DD3"/>
    <w:rsid w:val="00A266A7"/>
    <w:rsid w:val="00A561B4"/>
    <w:rsid w:val="00A6017D"/>
    <w:rsid w:val="00A75A99"/>
    <w:rsid w:val="00A76B93"/>
    <w:rsid w:val="00AB3C88"/>
    <w:rsid w:val="00AD74C5"/>
    <w:rsid w:val="00AE5E8B"/>
    <w:rsid w:val="00B00174"/>
    <w:rsid w:val="00B026E8"/>
    <w:rsid w:val="00B25BC3"/>
    <w:rsid w:val="00B47E0A"/>
    <w:rsid w:val="00B64D91"/>
    <w:rsid w:val="00B73E19"/>
    <w:rsid w:val="00B74412"/>
    <w:rsid w:val="00B859D1"/>
    <w:rsid w:val="00B867E1"/>
    <w:rsid w:val="00B91D8A"/>
    <w:rsid w:val="00B95C3A"/>
    <w:rsid w:val="00BA0872"/>
    <w:rsid w:val="00BA26BB"/>
    <w:rsid w:val="00BA6144"/>
    <w:rsid w:val="00BA6BB8"/>
    <w:rsid w:val="00BC6810"/>
    <w:rsid w:val="00BD07DC"/>
    <w:rsid w:val="00BD622E"/>
    <w:rsid w:val="00BE0B4D"/>
    <w:rsid w:val="00BE0D61"/>
    <w:rsid w:val="00BE58D6"/>
    <w:rsid w:val="00C26081"/>
    <w:rsid w:val="00C4126D"/>
    <w:rsid w:val="00C468DA"/>
    <w:rsid w:val="00C76C99"/>
    <w:rsid w:val="00C8423A"/>
    <w:rsid w:val="00C9033C"/>
    <w:rsid w:val="00CE53FE"/>
    <w:rsid w:val="00D40FA6"/>
    <w:rsid w:val="00D56266"/>
    <w:rsid w:val="00D716AD"/>
    <w:rsid w:val="00DB7929"/>
    <w:rsid w:val="00DD1BB3"/>
    <w:rsid w:val="00DD5F78"/>
    <w:rsid w:val="00E17E3F"/>
    <w:rsid w:val="00E22EE6"/>
    <w:rsid w:val="00E35CF3"/>
    <w:rsid w:val="00E612FF"/>
    <w:rsid w:val="00E8165E"/>
    <w:rsid w:val="00EA1D56"/>
    <w:rsid w:val="00EB1B31"/>
    <w:rsid w:val="00EB7B7C"/>
    <w:rsid w:val="00ED5D40"/>
    <w:rsid w:val="00ED6734"/>
    <w:rsid w:val="00F41AEE"/>
    <w:rsid w:val="00F61EF3"/>
    <w:rsid w:val="00F74943"/>
    <w:rsid w:val="00F8101B"/>
    <w:rsid w:val="00F818D6"/>
    <w:rsid w:val="00F94A6E"/>
    <w:rsid w:val="00FA372B"/>
    <w:rsid w:val="00FB198D"/>
    <w:rsid w:val="00FE383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openxmlformats.org/package/2006/metadata/core-properties"/>
    <ds:schemaRef ds:uri="9c8a2b7b-0bee-4c48-b0a6-23db8982d3bc"/>
    <ds:schemaRef ds:uri="http://schemas.microsoft.com/office/2006/documentManagement/types"/>
    <ds:schemaRef ds:uri="6911e96c-4cc4-42d5-8e43-f93924cf6a05"/>
    <ds:schemaRef ds:uri="http://purl.org/dc/elements/1.1/"/>
    <ds:schemaRef ds:uri="http://schemas.microsoft.com/office/2006/metadata/properties"/>
    <ds:schemaRef ds:uri="http://schemas.microsoft.com/office/infopath/2007/PartnerControls"/>
    <ds:schemaRef ds:uri="http://purl.org/dc/terms/"/>
    <ds:schemaRef ds:uri="cab52c9b-ab33-4221-8af9-54f8f2b86a80"/>
    <ds:schemaRef ds:uri="http://www.w3.org/XML/1998/namespace"/>
    <ds:schemaRef ds:uri="http://purl.org/dc/dcmitype/"/>
  </ds:schemaRefs>
</ds:datastoreItem>
</file>

<file path=customXml/itemProps2.xml><?xml version="1.0" encoding="utf-8"?>
<ds:datastoreItem xmlns:ds="http://schemas.openxmlformats.org/officeDocument/2006/customXml" ds:itemID="{67CF0FA1-68DB-48D7-9956-BAA8A9B01E36}"/>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460</Words>
  <Characters>2628</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115</cp:revision>
  <dcterms:created xsi:type="dcterms:W3CDTF">2025-03-01T00:24:00Z</dcterms:created>
  <dcterms:modified xsi:type="dcterms:W3CDTF">2025-08-09T04:07:00Z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