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9"/>
      </w:tblGrid>
      <w:tr w:rsidR="001564A4" w:rsidRPr="0050053A" w14:paraId="5C38377B" w14:textId="77777777" w:rsidTr="0048270E">
        <w:trPr>
          <w:trHeight w:val="1186"/>
          <w:jc w:val="center"/>
        </w:trPr>
        <w:tc>
          <w:tcPr>
            <w:tcW w:w="9269" w:type="dxa"/>
            <w:shd w:val="clear" w:color="auto" w:fill="auto"/>
          </w:tcPr>
          <w:p w14:paraId="5C44F357" w14:textId="5A67348D" w:rsidR="001564A4" w:rsidRPr="0050053A" w:rsidRDefault="003020C2" w:rsidP="000A28E2">
            <w:pPr>
              <w:spacing w:before="120" w:after="120"/>
              <w:rPr>
                <w:rFonts w:ascii="Arial" w:hAnsi="Arial" w:cs="Arial"/>
                <w:b/>
                <w:sz w:val="22"/>
                <w:szCs w:val="22"/>
                <w:lang w:val="en-US" w:eastAsia="zh-CN"/>
              </w:rPr>
            </w:pPr>
            <w:r w:rsidRPr="005E53D9">
              <w:rPr>
                <w:rFonts w:ascii="Arial" w:hAnsi="Arial" w:cs="Arial"/>
                <w:b/>
                <w:sz w:val="22"/>
                <w:szCs w:val="22"/>
                <w:lang w:val="en-US" w:eastAsia="en-GB"/>
              </w:rPr>
              <w:t xml:space="preserve">Impact of elexacaftor/tezacaftor/ivacaftor </w:t>
            </w:r>
            <w:r>
              <w:rPr>
                <w:rFonts w:ascii="Arial" w:hAnsi="Arial" w:cs="Arial"/>
                <w:b/>
                <w:sz w:val="22"/>
                <w:szCs w:val="22"/>
                <w:lang w:val="en-US" w:eastAsia="en-GB"/>
              </w:rPr>
              <w:t>on muscle strength and exercise capacity in adults</w:t>
            </w:r>
            <w:r w:rsidRPr="005E53D9">
              <w:rPr>
                <w:rFonts w:ascii="Arial" w:hAnsi="Arial" w:cs="Arial"/>
                <w:b/>
                <w:sz w:val="22"/>
                <w:szCs w:val="22"/>
                <w:lang w:val="en-US" w:eastAsia="en-GB"/>
              </w:rPr>
              <w:t xml:space="preserve"> with cystic fibrosis: real-world evidence from </w:t>
            </w:r>
            <w:r>
              <w:rPr>
                <w:rFonts w:ascii="Arial" w:hAnsi="Arial" w:cs="Arial"/>
                <w:b/>
                <w:sz w:val="22"/>
                <w:szCs w:val="22"/>
                <w:lang w:val="en-US" w:eastAsia="en-GB"/>
              </w:rPr>
              <w:t>a large adult CF centre</w:t>
            </w:r>
          </w:p>
        </w:tc>
      </w:tr>
      <w:tr w:rsidR="001564A4" w:rsidRPr="0050053A" w14:paraId="0E2E035C" w14:textId="77777777" w:rsidTr="0048270E">
        <w:trPr>
          <w:trHeight w:val="593"/>
          <w:jc w:val="center"/>
        </w:trPr>
        <w:tc>
          <w:tcPr>
            <w:tcW w:w="9269" w:type="dxa"/>
            <w:shd w:val="clear" w:color="auto" w:fill="auto"/>
          </w:tcPr>
          <w:p w14:paraId="73B55295" w14:textId="6CBB9BA8" w:rsidR="001564A4" w:rsidRPr="00413B94" w:rsidRDefault="005E53D9" w:rsidP="000A28E2">
            <w:pPr>
              <w:spacing w:before="120" w:after="120"/>
              <w:rPr>
                <w:rFonts w:ascii="Arial" w:hAnsi="Arial" w:cs="Arial"/>
                <w:sz w:val="22"/>
                <w:szCs w:val="22"/>
                <w:u w:val="single"/>
                <w:lang w:eastAsia="zh-CN"/>
              </w:rPr>
            </w:pPr>
            <w:bookmarkStart w:id="0" w:name="Text8"/>
            <w:r>
              <w:rPr>
                <w:rFonts w:ascii="Arial" w:hAnsi="Arial" w:cs="Arial"/>
                <w:sz w:val="22"/>
                <w:szCs w:val="22"/>
                <w:lang w:val="en-US" w:eastAsia="en-GB"/>
              </w:rPr>
              <w:t>Kathleen Hall</w:t>
            </w:r>
            <w:r>
              <w:rPr>
                <w:rFonts w:ascii="Arial" w:hAnsi="Arial" w:cs="Arial"/>
                <w:sz w:val="22"/>
                <w:szCs w:val="22"/>
                <w:vertAlign w:val="superscript"/>
                <w:lang w:val="en-US" w:eastAsia="en-GB"/>
              </w:rPr>
              <w:t>1,</w:t>
            </w:r>
            <w:r w:rsidRPr="00413B94">
              <w:rPr>
                <w:rFonts w:ascii="Arial" w:hAnsi="Arial" w:cs="Arial"/>
                <w:sz w:val="22"/>
                <w:szCs w:val="22"/>
                <w:vertAlign w:val="superscript"/>
                <w:lang w:val="en-US" w:eastAsia="en-GB"/>
              </w:rPr>
              <w:t>2</w:t>
            </w:r>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Robyn Cobb</w:t>
            </w:r>
            <w:r w:rsidR="00DC51E9">
              <w:rPr>
                <w:rFonts w:ascii="Arial" w:hAnsi="Arial" w:cs="Arial"/>
                <w:sz w:val="22"/>
                <w:szCs w:val="22"/>
                <w:vertAlign w:val="superscript"/>
                <w:lang w:val="en-US" w:eastAsia="en-GB"/>
              </w:rPr>
              <w:t>1</w:t>
            </w:r>
            <w:r w:rsidR="00DC51E9" w:rsidRPr="00413B94">
              <w:rPr>
                <w:rFonts w:ascii="Arial" w:hAnsi="Arial" w:cs="Arial"/>
                <w:sz w:val="22"/>
                <w:szCs w:val="22"/>
                <w:lang w:val="en-US" w:eastAsia="en-GB"/>
              </w:rPr>
              <w:t>,</w:t>
            </w:r>
            <w:r w:rsidR="00DC51E9">
              <w:rPr>
                <w:rFonts w:ascii="Arial" w:hAnsi="Arial" w:cs="Arial"/>
                <w:sz w:val="22"/>
                <w:szCs w:val="22"/>
                <w:lang w:val="en-US" w:eastAsia="en-GB"/>
              </w:rPr>
              <w:t xml:space="preserve"> Jennifer</w:t>
            </w:r>
            <w:r>
              <w:rPr>
                <w:rFonts w:ascii="Arial" w:hAnsi="Arial" w:cs="Arial"/>
                <w:sz w:val="22"/>
                <w:szCs w:val="22"/>
                <w:lang w:val="en-US" w:eastAsia="en-GB"/>
              </w:rPr>
              <w:t xml:space="preserve"> Bingham</w:t>
            </w:r>
            <w:r>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sidR="00DC51E9">
              <w:rPr>
                <w:rFonts w:ascii="Arial" w:hAnsi="Arial" w:cs="Arial"/>
                <w:sz w:val="22"/>
                <w:szCs w:val="22"/>
                <w:lang w:val="en-US" w:eastAsia="en-GB"/>
              </w:rPr>
              <w:t xml:space="preserve"> </w:t>
            </w:r>
            <w:r>
              <w:rPr>
                <w:rFonts w:ascii="Arial" w:hAnsi="Arial" w:cs="Arial"/>
                <w:sz w:val="22"/>
                <w:szCs w:val="22"/>
                <w:lang w:val="en-US" w:eastAsia="en-GB"/>
              </w:rPr>
              <w:t>Alice Smith</w:t>
            </w:r>
            <w:r>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r w:rsidR="00DC51E9">
              <w:rPr>
                <w:rFonts w:ascii="Arial" w:hAnsi="Arial" w:cs="Arial"/>
                <w:sz w:val="22"/>
                <w:szCs w:val="22"/>
                <w:lang w:val="en-US" w:eastAsia="en-GB"/>
              </w:rPr>
              <w:t xml:space="preserve"> </w:t>
            </w:r>
            <w:r>
              <w:rPr>
                <w:rFonts w:ascii="Arial" w:hAnsi="Arial" w:cs="Arial"/>
                <w:sz w:val="22"/>
                <w:szCs w:val="22"/>
                <w:lang w:val="en-US" w:eastAsia="en-GB"/>
              </w:rPr>
              <w:t>David Reid</w:t>
            </w:r>
            <w:r>
              <w:rPr>
                <w:rFonts w:ascii="Arial" w:hAnsi="Arial" w:cs="Arial"/>
                <w:sz w:val="22"/>
                <w:szCs w:val="22"/>
                <w:vertAlign w:val="superscript"/>
                <w:lang w:val="en-US" w:eastAsia="en-GB"/>
              </w:rPr>
              <w:t>3,4</w:t>
            </w:r>
            <w:r w:rsidR="00DC51E9">
              <w:rPr>
                <w:rFonts w:ascii="Arial" w:hAnsi="Arial" w:cs="Arial"/>
                <w:sz w:val="22"/>
                <w:szCs w:val="22"/>
                <w:vertAlign w:val="superscript"/>
                <w:lang w:val="en-US" w:eastAsia="en-GB"/>
              </w:rPr>
              <w:t>,5</w:t>
            </w:r>
          </w:p>
        </w:tc>
      </w:tr>
      <w:tr w:rsidR="001564A4" w:rsidRPr="0050053A" w14:paraId="385A19D9" w14:textId="77777777" w:rsidTr="0048270E">
        <w:trPr>
          <w:trHeight w:val="163"/>
          <w:jc w:val="center"/>
        </w:trPr>
        <w:tc>
          <w:tcPr>
            <w:tcW w:w="9269" w:type="dxa"/>
            <w:shd w:val="clear" w:color="auto" w:fill="auto"/>
          </w:tcPr>
          <w:p w14:paraId="1643A330" w14:textId="16B4B6E8" w:rsidR="001564A4" w:rsidRPr="0074623A" w:rsidRDefault="001564A4" w:rsidP="000A28E2">
            <w:pPr>
              <w:spacing w:before="120" w:after="120"/>
              <w:rPr>
                <w:rFonts w:ascii="Arial" w:hAnsi="Arial" w:cs="Arial"/>
                <w:i/>
                <w:sz w:val="22"/>
                <w:szCs w:val="22"/>
                <w:lang w:val="en-US" w:eastAsia="en-GB"/>
              </w:rPr>
            </w:pPr>
            <w:r w:rsidRPr="0074623A">
              <w:rPr>
                <w:rFonts w:ascii="Arial" w:hAnsi="Arial" w:cs="Arial"/>
                <w:i/>
                <w:sz w:val="22"/>
                <w:szCs w:val="22"/>
                <w:vertAlign w:val="superscript"/>
                <w:lang w:val="en-US" w:eastAsia="en-GB"/>
              </w:rPr>
              <w:t>1</w:t>
            </w:r>
            <w:r w:rsidR="005E53D9" w:rsidRPr="0074623A">
              <w:rPr>
                <w:rFonts w:ascii="Arial" w:hAnsi="Arial" w:cs="Arial"/>
                <w:i/>
                <w:sz w:val="22"/>
                <w:szCs w:val="22"/>
                <w:lang w:val="en-US" w:eastAsia="en-GB"/>
              </w:rPr>
              <w:t>Physiotherapy, Adult Cystic Fibrosis Centre, TPCH, Chermside, Qld</w:t>
            </w:r>
          </w:p>
          <w:p w14:paraId="3BD815D8" w14:textId="364EE91E" w:rsidR="001564A4" w:rsidRPr="0074623A" w:rsidRDefault="001564A4" w:rsidP="000A28E2">
            <w:pPr>
              <w:spacing w:before="120" w:after="120"/>
              <w:rPr>
                <w:rFonts w:ascii="Arial" w:hAnsi="Arial" w:cs="Arial"/>
                <w:i/>
                <w:sz w:val="22"/>
                <w:szCs w:val="22"/>
                <w:lang w:val="en-US" w:eastAsia="en-GB"/>
              </w:rPr>
            </w:pPr>
            <w:r w:rsidRPr="0074623A">
              <w:rPr>
                <w:rFonts w:ascii="Arial" w:hAnsi="Arial" w:cs="Arial"/>
                <w:i/>
                <w:sz w:val="22"/>
                <w:szCs w:val="22"/>
                <w:vertAlign w:val="superscript"/>
                <w:lang w:val="en-US" w:eastAsia="en-GB"/>
              </w:rPr>
              <w:t>2</w:t>
            </w:r>
            <w:r w:rsidR="005E53D9" w:rsidRPr="0074623A">
              <w:rPr>
                <w:rFonts w:ascii="Arial" w:hAnsi="Arial" w:cs="Arial"/>
                <w:i/>
                <w:sz w:val="22"/>
                <w:szCs w:val="22"/>
                <w:lang w:val="en-US" w:eastAsia="en-GB"/>
              </w:rPr>
              <w:t>Physiotherapy, Australian Catholic University, Banyo, Qld</w:t>
            </w:r>
          </w:p>
          <w:p w14:paraId="6BCADC27" w14:textId="0D0345C1" w:rsidR="001564A4" w:rsidRPr="0074623A" w:rsidRDefault="001564A4" w:rsidP="000A28E2">
            <w:pPr>
              <w:spacing w:before="120" w:after="120"/>
              <w:rPr>
                <w:rFonts w:ascii="Arial" w:hAnsi="Arial" w:cs="Arial"/>
                <w:i/>
                <w:sz w:val="22"/>
                <w:szCs w:val="22"/>
                <w:lang w:val="en-US" w:eastAsia="en-GB"/>
              </w:rPr>
            </w:pPr>
            <w:r w:rsidRPr="0074623A">
              <w:rPr>
                <w:rFonts w:ascii="Arial" w:hAnsi="Arial" w:cs="Arial"/>
                <w:i/>
                <w:sz w:val="22"/>
                <w:szCs w:val="22"/>
                <w:vertAlign w:val="superscript"/>
                <w:lang w:val="en-US" w:eastAsia="en-GB"/>
              </w:rPr>
              <w:t>3</w:t>
            </w:r>
            <w:r w:rsidR="00DC51E9" w:rsidRPr="0074623A">
              <w:rPr>
                <w:rFonts w:ascii="Arial" w:hAnsi="Arial" w:cs="Arial"/>
                <w:i/>
                <w:sz w:val="22"/>
                <w:szCs w:val="22"/>
                <w:lang w:val="en-US" w:eastAsia="en-GB"/>
              </w:rPr>
              <w:t>Adult Cystic Fibrosis Centre, TPCH, Chermside, Qld</w:t>
            </w:r>
          </w:p>
          <w:p w14:paraId="606CB874" w14:textId="5197C5DE" w:rsidR="001564A4" w:rsidRPr="0074623A" w:rsidRDefault="001564A4" w:rsidP="000A28E2">
            <w:pPr>
              <w:spacing w:before="120" w:after="120"/>
              <w:rPr>
                <w:rFonts w:ascii="Arial" w:hAnsi="Arial" w:cs="Arial"/>
                <w:i/>
                <w:sz w:val="22"/>
                <w:szCs w:val="22"/>
                <w:lang w:val="en-US" w:eastAsia="en-GB"/>
              </w:rPr>
            </w:pPr>
            <w:r w:rsidRPr="0074623A">
              <w:rPr>
                <w:rFonts w:ascii="Arial" w:hAnsi="Arial" w:cs="Arial"/>
                <w:i/>
                <w:sz w:val="22"/>
                <w:szCs w:val="22"/>
                <w:vertAlign w:val="superscript"/>
                <w:lang w:val="en-US" w:eastAsia="en-GB"/>
              </w:rPr>
              <w:t>4</w:t>
            </w:r>
            <w:r w:rsidR="00DC51E9" w:rsidRPr="0074623A">
              <w:rPr>
                <w:rFonts w:ascii="Arial" w:hAnsi="Arial" w:cs="Arial"/>
                <w:i/>
                <w:sz w:val="22"/>
                <w:szCs w:val="22"/>
                <w:lang w:val="en-US" w:eastAsia="en-GB"/>
              </w:rPr>
              <w:t>Lung infection and inflammation, QIMR-Berghofer Institute of Medical Researc</w:t>
            </w:r>
            <w:r w:rsidR="0074623A" w:rsidRPr="0074623A">
              <w:rPr>
                <w:rFonts w:ascii="Arial" w:hAnsi="Arial" w:cs="Arial"/>
                <w:i/>
                <w:sz w:val="22"/>
                <w:szCs w:val="22"/>
                <w:lang w:val="en-US" w:eastAsia="en-GB"/>
              </w:rPr>
              <w:t>h</w:t>
            </w:r>
          </w:p>
          <w:p w14:paraId="45ED36BF" w14:textId="2276EBC1" w:rsidR="001564A4" w:rsidRPr="0074623A" w:rsidRDefault="001564A4" w:rsidP="0074623A">
            <w:pPr>
              <w:rPr>
                <w:rFonts w:ascii="Arial" w:hAnsi="Arial" w:cs="Arial"/>
                <w:i/>
                <w:sz w:val="22"/>
                <w:szCs w:val="22"/>
                <w:lang w:val="en-AU"/>
              </w:rPr>
            </w:pPr>
            <w:r w:rsidRPr="0074623A">
              <w:rPr>
                <w:rFonts w:ascii="Arial" w:hAnsi="Arial" w:cs="Arial"/>
                <w:i/>
                <w:sz w:val="22"/>
                <w:szCs w:val="22"/>
                <w:vertAlign w:val="superscript"/>
                <w:lang w:val="en-US" w:eastAsia="en-GB"/>
              </w:rPr>
              <w:t>5</w:t>
            </w:r>
            <w:r w:rsidR="0074623A" w:rsidRPr="0074623A">
              <w:rPr>
                <w:rFonts w:ascii="Arial" w:hAnsi="Arial" w:cs="Arial"/>
                <w:i/>
                <w:sz w:val="22"/>
                <w:szCs w:val="22"/>
              </w:rPr>
              <w:t>School of Medicine, University of Queensland.</w:t>
            </w:r>
          </w:p>
        </w:tc>
      </w:tr>
      <w:tr w:rsidR="001564A4" w:rsidRPr="0048270E" w14:paraId="6DAF615A" w14:textId="77777777" w:rsidTr="0048270E">
        <w:trPr>
          <w:trHeight w:hRule="exact" w:val="8814"/>
          <w:jc w:val="center"/>
        </w:trPr>
        <w:tc>
          <w:tcPr>
            <w:tcW w:w="9269" w:type="dxa"/>
            <w:shd w:val="clear" w:color="auto" w:fill="auto"/>
          </w:tcPr>
          <w:p w14:paraId="3B23E0A6" w14:textId="77777777" w:rsidR="00DC51E9" w:rsidRDefault="00DC51E9" w:rsidP="00DC51E9">
            <w:pPr>
              <w:pStyle w:val="Pa12"/>
            </w:pPr>
            <w:r>
              <w:rPr>
                <w:rStyle w:val="A4"/>
                <w:b/>
                <w:bCs/>
              </w:rPr>
              <w:t xml:space="preserve">Introduction/Aim: </w:t>
            </w:r>
          </w:p>
          <w:p w14:paraId="6A6E02FD" w14:textId="77777777" w:rsidR="00DC51E9" w:rsidRDefault="00DC51E9" w:rsidP="00DC51E9">
            <w:pPr>
              <w:pStyle w:val="Pa12"/>
            </w:pPr>
            <w:r>
              <w:rPr>
                <w:sz w:val="22"/>
                <w:szCs w:val="22"/>
              </w:rPr>
              <w:t xml:space="preserve">Treatment with elexacaftor/tezacaftor/ivacaftor (ETI) improves multiple clinical outcomes in people with cystic fibrosis (pwCF). However, limited information about its effects on muscle strength and exercise capacity exists. This study evaluated the real-world impact of ETI on these outcomes in a group of pwCF following PBS listing in Australia in 2022. </w:t>
            </w:r>
          </w:p>
          <w:p w14:paraId="19759714" w14:textId="77777777" w:rsidR="00DC51E9" w:rsidRDefault="00DC51E9" w:rsidP="00DC51E9">
            <w:pPr>
              <w:pStyle w:val="Pa12"/>
            </w:pPr>
            <w:r>
              <w:rPr>
                <w:rStyle w:val="A4"/>
                <w:b/>
                <w:bCs/>
              </w:rPr>
              <w:t xml:space="preserve">Methods: </w:t>
            </w:r>
            <w:r>
              <w:rPr>
                <w:sz w:val="22"/>
                <w:szCs w:val="22"/>
              </w:rPr>
              <w:br/>
              <w:t>Prospective cohort design. Isometric Quadriceps strength test (QS) and Modified Shuttle Walk testing (MSWT), using standardised protocols, were assessed at baseline (pre-ETI) with an aim to repeat at one, six- and twelve-month follow-up clinic visits (post-ETI). QS was normalised to body weight (</w:t>
            </w:r>
            <w:proofErr w:type="spellStart"/>
            <w:r>
              <w:rPr>
                <w:sz w:val="22"/>
                <w:szCs w:val="22"/>
              </w:rPr>
              <w:t>bw</w:t>
            </w:r>
            <w:proofErr w:type="spellEnd"/>
            <w:r>
              <w:rPr>
                <w:sz w:val="22"/>
                <w:szCs w:val="22"/>
              </w:rPr>
              <w:t>%).</w:t>
            </w:r>
          </w:p>
          <w:p w14:paraId="4F3194B6" w14:textId="77777777" w:rsidR="00DC51E9" w:rsidRDefault="00DC51E9" w:rsidP="00DC51E9">
            <w:pPr>
              <w:pStyle w:val="Pa12"/>
            </w:pPr>
            <w:r>
              <w:rPr>
                <w:rStyle w:val="A4"/>
                <w:b/>
                <w:bCs/>
              </w:rPr>
              <w:t xml:space="preserve">Results: </w:t>
            </w:r>
          </w:p>
          <w:p w14:paraId="3C22D7AB" w14:textId="77777777" w:rsidR="00DC51E9" w:rsidRDefault="00DC51E9" w:rsidP="00DC51E9">
            <w:pPr>
              <w:pStyle w:val="Pa12"/>
            </w:pPr>
            <w:r w:rsidRPr="00953EDD">
              <w:rPr>
                <w:sz w:val="22"/>
                <w:szCs w:val="22"/>
              </w:rPr>
              <w:t>At baseline, 109 pwCF consented to participation (mean age 33</w:t>
            </w:r>
            <w:r>
              <w:rPr>
                <w:sz w:val="22"/>
                <w:szCs w:val="22"/>
              </w:rPr>
              <w:t xml:space="preserve"> </w:t>
            </w:r>
            <w:r w:rsidRPr="00953EDD">
              <w:rPr>
                <w:sz w:val="22"/>
                <w:szCs w:val="22"/>
              </w:rPr>
              <w:t>±</w:t>
            </w:r>
            <w:r>
              <w:rPr>
                <w:sz w:val="22"/>
                <w:szCs w:val="22"/>
              </w:rPr>
              <w:t xml:space="preserve"> </w:t>
            </w:r>
            <w:r w:rsidRPr="00953EDD">
              <w:rPr>
                <w:sz w:val="22"/>
                <w:szCs w:val="22"/>
              </w:rPr>
              <w:t>12 years; n = 67males [62%]). At baseline, 107 (98%) completed</w:t>
            </w:r>
            <w:r>
              <w:rPr>
                <w:sz w:val="22"/>
                <w:szCs w:val="22"/>
              </w:rPr>
              <w:t xml:space="preserve"> QS and 70(64%) MSWT. This number reduced over time, with QS tests dropping to 45(41%) and MSWT reducing to 24(22%) at the 12-month visit. The primary reason for reduced data capture was an increase in telehealth consultations. There was no significant change to QS (</w:t>
            </w:r>
            <w:proofErr w:type="spellStart"/>
            <w:r>
              <w:rPr>
                <w:sz w:val="22"/>
                <w:szCs w:val="22"/>
              </w:rPr>
              <w:t>bw</w:t>
            </w:r>
            <w:proofErr w:type="spellEnd"/>
            <w:r>
              <w:rPr>
                <w:sz w:val="22"/>
                <w:szCs w:val="22"/>
              </w:rPr>
              <w:t xml:space="preserve"> %) between baseline and 12 months (110 </w:t>
            </w:r>
            <w:r>
              <w:rPr>
                <w:color w:val="000000"/>
                <w:sz w:val="22"/>
                <w:szCs w:val="22"/>
                <w:shd w:val="clear" w:color="auto" w:fill="FFFFFF"/>
              </w:rPr>
              <w:t>± 31[SD] to 113 ± 26[SD], CI -3.4 – 9.9,</w:t>
            </w:r>
            <w:r>
              <w:rPr>
                <w:i/>
                <w:iCs/>
                <w:color w:val="000000"/>
                <w:sz w:val="22"/>
                <w:szCs w:val="22"/>
                <w:shd w:val="clear" w:color="auto" w:fill="FFFFFF"/>
              </w:rPr>
              <w:t xml:space="preserve"> </w:t>
            </w:r>
            <w:r>
              <w:rPr>
                <w:color w:val="000000"/>
                <w:sz w:val="22"/>
                <w:szCs w:val="22"/>
                <w:shd w:val="clear" w:color="auto" w:fill="FFFFFF"/>
              </w:rPr>
              <w:t xml:space="preserve">p = 0.33). MSWT (meters) improved significantly at 12 months (908 ± 220 [SD] to 1004 ± 260 [SD], 95% CI 44 – 149, p &lt; 0.001. </w:t>
            </w:r>
            <w:r>
              <w:rPr>
                <w:sz w:val="22"/>
                <w:szCs w:val="22"/>
              </w:rPr>
              <w:t>Lung function (FEV</w:t>
            </w:r>
            <w:r>
              <w:rPr>
                <w:sz w:val="22"/>
                <w:szCs w:val="22"/>
                <w:vertAlign w:val="subscript"/>
              </w:rPr>
              <w:t>1</w:t>
            </w:r>
            <w:r>
              <w:rPr>
                <w:sz w:val="22"/>
                <w:szCs w:val="22"/>
              </w:rPr>
              <w:t>%pred) improved significantly overall (</w:t>
            </w:r>
            <w:r>
              <w:rPr>
                <w:color w:val="000000"/>
                <w:sz w:val="22"/>
                <w:szCs w:val="22"/>
                <w:shd w:val="clear" w:color="auto" w:fill="FFFFFF"/>
              </w:rPr>
              <w:t xml:space="preserve">65.4 ± 21[SD] to 74.8 ± 20 [SD], 95% CI 8.98 – 16, p &lt; 0.001). </w:t>
            </w:r>
          </w:p>
          <w:p w14:paraId="1FB894E3" w14:textId="77777777" w:rsidR="00DC51E9" w:rsidRDefault="00DC51E9" w:rsidP="00DC51E9">
            <w:pPr>
              <w:pStyle w:val="Pa12"/>
            </w:pPr>
            <w:r>
              <w:rPr>
                <w:rStyle w:val="A4"/>
                <w:b/>
                <w:bCs/>
              </w:rPr>
              <w:t xml:space="preserve">Conclusion: </w:t>
            </w:r>
            <w:r>
              <w:rPr>
                <w:sz w:val="22"/>
                <w:szCs w:val="22"/>
              </w:rPr>
              <w:br/>
            </w:r>
            <w:r>
              <w:rPr>
                <w:color w:val="000000"/>
                <w:sz w:val="22"/>
                <w:szCs w:val="22"/>
              </w:rPr>
              <w:t>Examination of real-world outcomes demonstrated significant improvements in exercise capacity (MSWT) over 12 months following the commencement of ETI, alongside improvements in lung function. Peripheral muscle strength did not change in this preliminary analysis.</w:t>
            </w:r>
          </w:p>
          <w:p w14:paraId="1FF1A88F" w14:textId="4974A6D0" w:rsidR="001564A4" w:rsidRPr="0074623A" w:rsidRDefault="001564A4" w:rsidP="000A28E2">
            <w:pPr>
              <w:pStyle w:val="Pa12"/>
              <w:rPr>
                <w:rStyle w:val="A4"/>
                <w:color w:val="auto"/>
                <w:sz w:val="18"/>
                <w:szCs w:val="18"/>
              </w:rPr>
            </w:pPr>
            <w:r w:rsidRPr="0048270E">
              <w:rPr>
                <w:rStyle w:val="A4"/>
                <w:bCs/>
                <w:sz w:val="18"/>
                <w:szCs w:val="18"/>
              </w:rPr>
              <w:br/>
            </w:r>
            <w:r w:rsidRPr="0048270E">
              <w:rPr>
                <w:rStyle w:val="A4"/>
                <w:bCs/>
                <w:sz w:val="18"/>
                <w:szCs w:val="18"/>
              </w:rPr>
              <w:br/>
            </w:r>
            <w:r w:rsidRPr="0048270E">
              <w:rPr>
                <w:rStyle w:val="A4"/>
                <w:bCs/>
                <w:sz w:val="18"/>
                <w:szCs w:val="18"/>
              </w:rPr>
              <w:br/>
            </w:r>
            <w:r w:rsidRPr="0048270E">
              <w:rPr>
                <w:rStyle w:val="A4"/>
                <w:bCs/>
                <w:sz w:val="18"/>
                <w:szCs w:val="18"/>
              </w:rPr>
              <w:br/>
            </w:r>
            <w:r w:rsidRPr="0048270E">
              <w:rPr>
                <w:rStyle w:val="A4"/>
                <w:bCs/>
                <w:sz w:val="18"/>
                <w:szCs w:val="18"/>
              </w:rPr>
              <w:br/>
            </w:r>
            <w:r w:rsidRPr="0048270E">
              <w:rPr>
                <w:rStyle w:val="A4"/>
                <w:bCs/>
                <w:sz w:val="18"/>
                <w:szCs w:val="18"/>
              </w:rPr>
              <w:br/>
            </w:r>
            <w:r w:rsidRPr="0048270E">
              <w:rPr>
                <w:rStyle w:val="A4"/>
                <w:bCs/>
                <w:sz w:val="18"/>
                <w:szCs w:val="18"/>
              </w:rPr>
              <w:br/>
            </w:r>
            <w:r w:rsidRPr="0048270E">
              <w:rPr>
                <w:rStyle w:val="A4"/>
                <w:bCs/>
                <w:sz w:val="18"/>
                <w:szCs w:val="18"/>
              </w:rPr>
              <w:br/>
            </w:r>
            <w:r w:rsidRPr="0048270E">
              <w:rPr>
                <w:rStyle w:val="A4"/>
                <w:bCs/>
                <w:sz w:val="18"/>
                <w:szCs w:val="18"/>
              </w:rPr>
              <w:br/>
            </w:r>
            <w:r w:rsidRPr="0048270E">
              <w:rPr>
                <w:rStyle w:val="A4"/>
                <w:bCs/>
                <w:sz w:val="18"/>
                <w:szCs w:val="18"/>
              </w:rPr>
              <w:br/>
            </w:r>
          </w:p>
          <w:p w14:paraId="14DC37E4" w14:textId="77777777" w:rsidR="001564A4" w:rsidRPr="0048270E" w:rsidRDefault="001564A4" w:rsidP="000A28E2">
            <w:pPr>
              <w:pStyle w:val="Default"/>
              <w:rPr>
                <w:rStyle w:val="A4"/>
                <w:bCs/>
                <w:sz w:val="18"/>
                <w:szCs w:val="18"/>
              </w:rPr>
            </w:pPr>
          </w:p>
          <w:p w14:paraId="5F58D34F" w14:textId="77777777" w:rsidR="001564A4" w:rsidRPr="0048270E" w:rsidRDefault="001564A4" w:rsidP="000A28E2">
            <w:pPr>
              <w:pStyle w:val="Default"/>
              <w:rPr>
                <w:sz w:val="18"/>
                <w:szCs w:val="18"/>
                <w:lang w:val="en-US" w:eastAsia="en-GB"/>
              </w:rPr>
            </w:pP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r w:rsidRPr="0048270E">
              <w:rPr>
                <w:sz w:val="18"/>
                <w:szCs w:val="18"/>
                <w:lang w:val="en-US" w:eastAsia="en-GB"/>
              </w:rPr>
              <w:br/>
            </w:r>
          </w:p>
        </w:tc>
      </w:tr>
    </w:tbl>
    <w:p w14:paraId="7C36A9DC" w14:textId="32A70617" w:rsidR="00E0700F" w:rsidRPr="0048270E" w:rsidRDefault="00E0700F" w:rsidP="001564A4">
      <w:pPr>
        <w:rPr>
          <w:sz w:val="18"/>
          <w:szCs w:val="18"/>
        </w:rPr>
      </w:pPr>
    </w:p>
    <w:sectPr w:rsidR="00E0700F" w:rsidRPr="00482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C7876"/>
    <w:rsid w:val="002D6460"/>
    <w:rsid w:val="003020C2"/>
    <w:rsid w:val="00316E4E"/>
    <w:rsid w:val="003855E5"/>
    <w:rsid w:val="0048270E"/>
    <w:rsid w:val="0051574E"/>
    <w:rsid w:val="00523C70"/>
    <w:rsid w:val="005E53D9"/>
    <w:rsid w:val="0062477A"/>
    <w:rsid w:val="00634B9B"/>
    <w:rsid w:val="0074623A"/>
    <w:rsid w:val="008803FA"/>
    <w:rsid w:val="00AD6B83"/>
    <w:rsid w:val="00B12E32"/>
    <w:rsid w:val="00BF25CC"/>
    <w:rsid w:val="00C628DA"/>
    <w:rsid w:val="00C8631F"/>
    <w:rsid w:val="00CD3CE0"/>
    <w:rsid w:val="00CE0432"/>
    <w:rsid w:val="00DC51E9"/>
    <w:rsid w:val="00DD154A"/>
    <w:rsid w:val="00E0700F"/>
    <w:rsid w:val="00F51635"/>
    <w:rsid w:val="00F800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08939">
      <w:bodyDiv w:val="1"/>
      <w:marLeft w:val="0"/>
      <w:marRight w:val="0"/>
      <w:marTop w:val="0"/>
      <w:marBottom w:val="0"/>
      <w:divBdr>
        <w:top w:val="none" w:sz="0" w:space="0" w:color="auto"/>
        <w:left w:val="none" w:sz="0" w:space="0" w:color="auto"/>
        <w:bottom w:val="none" w:sz="0" w:space="0" w:color="auto"/>
        <w:right w:val="none" w:sz="0" w:space="0" w:color="auto"/>
      </w:divBdr>
    </w:div>
    <w:div w:id="1380088237">
      <w:bodyDiv w:val="1"/>
      <w:marLeft w:val="0"/>
      <w:marRight w:val="0"/>
      <w:marTop w:val="0"/>
      <w:marBottom w:val="0"/>
      <w:divBdr>
        <w:top w:val="none" w:sz="0" w:space="0" w:color="auto"/>
        <w:left w:val="none" w:sz="0" w:space="0" w:color="auto"/>
        <w:bottom w:val="none" w:sz="0" w:space="0" w:color="auto"/>
        <w:right w:val="none" w:sz="0" w:space="0" w:color="auto"/>
      </w:divBdr>
    </w:div>
    <w:div w:id="1620531872">
      <w:bodyDiv w:val="1"/>
      <w:marLeft w:val="0"/>
      <w:marRight w:val="0"/>
      <w:marTop w:val="0"/>
      <w:marBottom w:val="0"/>
      <w:divBdr>
        <w:top w:val="none" w:sz="0" w:space="0" w:color="auto"/>
        <w:left w:val="none" w:sz="0" w:space="0" w:color="auto"/>
        <w:bottom w:val="none" w:sz="0" w:space="0" w:color="auto"/>
        <w:right w:val="none" w:sz="0" w:space="0" w:color="auto"/>
      </w:divBdr>
    </w:div>
    <w:div w:id="16901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326</Words>
  <Characters>1913</Characters>
  <Application>Microsoft Office Word</Application>
  <DocSecurity>0</DocSecurity>
  <Lines>90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Kathleen Hall</cp:lastModifiedBy>
  <cp:revision>4</cp:revision>
  <cp:lastPrinted>2023-10-17T07:01:00Z</cp:lastPrinted>
  <dcterms:created xsi:type="dcterms:W3CDTF">2023-10-17T06:55:00Z</dcterms:created>
  <dcterms:modified xsi:type="dcterms:W3CDTF">2023-10-17T07:03:00Z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bc6c916515b3a0bad6869f30b96e6af9c669f224e8ecabb9559fb1a033ed7ee0</vt:lpwstr>
  </property>
</Properties>
</file>