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BAE814B" w:rsidR="001564A4" w:rsidRPr="0050053A" w:rsidRDefault="00445C2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45C2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Performance of next-generation</w:t>
            </w:r>
            <w:r w:rsidR="00250178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</w:t>
            </w:r>
            <w:r w:rsidRPr="00445C29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molecular methods in the diagnosis of pleural space infections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F3534A9" w:rsidR="001564A4" w:rsidRPr="006C06F9" w:rsidRDefault="000A6CBC" w:rsidP="00545267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</w:pPr>
            <w:r w:rsidRPr="006C06F9">
              <w:rPr>
                <w:rFonts w:ascii="Arial" w:hAnsi="Arial" w:cs="Arial"/>
                <w:sz w:val="22"/>
                <w:szCs w:val="22"/>
                <w:lang w:val="en-AU"/>
              </w:rPr>
              <w:t>Timothy Baird</w:t>
            </w:r>
            <w:r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1,2,</w:t>
            </w:r>
            <w:r w:rsidR="00E65195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Pr="000F2DD8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#</w:t>
            </w:r>
            <w:r w:rsidRPr="006C06F9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Peter T. Bell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1,2,</w:t>
            </w:r>
            <w:r w:rsidR="00E65195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4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#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, John Goddard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 xml:space="preserve">, Olusola </w:t>
            </w:r>
            <w:r w:rsidR="0087346D">
              <w:rPr>
                <w:rFonts w:ascii="Arial" w:hAnsi="Arial" w:cs="Arial"/>
                <w:sz w:val="22"/>
                <w:szCs w:val="22"/>
                <w:lang w:val="en-AU"/>
              </w:rPr>
              <w:t xml:space="preserve">S. 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Olagoke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2,</w:t>
            </w:r>
            <w:r w:rsidR="0087346D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, Andrew Burke</w:t>
            </w:r>
            <w:r w:rsidR="00035BE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4,5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, Shradha Subedi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6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, Tiana R. Davey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2,</w:t>
            </w:r>
            <w:r w:rsidR="0087346D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, James Anderson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1,7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AA48D5" w:rsidRPr="006C06F9">
              <w:rPr>
                <w:rFonts w:ascii="Arial" w:hAnsi="Arial" w:cs="Arial"/>
                <w:sz w:val="22"/>
                <w:szCs w:val="22"/>
                <w:lang w:val="en-AU"/>
              </w:rPr>
              <w:t>Derek S. Sarovich</w:t>
            </w:r>
            <w:r w:rsidR="00AA48D5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2,</w:t>
            </w:r>
            <w:r w:rsidR="000F2DD8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="00AA48D5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*</w:t>
            </w:r>
            <w:r w:rsidR="00AA48D5" w:rsidRPr="006C06F9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="00081857" w:rsidRPr="006C06F9">
              <w:rPr>
                <w:rFonts w:ascii="Arial" w:hAnsi="Arial" w:cs="Arial"/>
                <w:sz w:val="22"/>
                <w:szCs w:val="22"/>
                <w:lang w:val="en-AU"/>
              </w:rPr>
              <w:t>and Erin P. Price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2,</w:t>
            </w:r>
            <w:r w:rsidR="000F2DD8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="00081857" w:rsidRPr="006C06F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*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4D886D2" w14:textId="77777777" w:rsidR="003B4CC5" w:rsidRPr="008B6C23" w:rsidRDefault="003B4CC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B6C23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1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>Department of Respiratory Medicine, Sunshine Coast University Hospital, Birtinya, Queensland, Australia</w:t>
            </w:r>
          </w:p>
          <w:p w14:paraId="41B8F5A3" w14:textId="77777777" w:rsidR="003B4CC5" w:rsidRDefault="003B4CC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B6C23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2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>Sunshine Coast Health Institute, Birtinya, Queensland, Australia</w:t>
            </w:r>
          </w:p>
          <w:p w14:paraId="66853C18" w14:textId="025D3887" w:rsidR="00E65195" w:rsidRPr="008B6C23" w:rsidRDefault="00E6519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>Centre for Bioinnovation, University of Sunshine Coast, Sippy Downs, Queensland, Australia</w:t>
            </w:r>
          </w:p>
          <w:p w14:paraId="6FB455C3" w14:textId="4F6B7049" w:rsidR="003B4CC5" w:rsidRPr="008B6C23" w:rsidRDefault="00E6519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4</w:t>
            </w:r>
            <w:r w:rsidR="003B4CC5" w:rsidRPr="008B6C23">
              <w:rPr>
                <w:rFonts w:ascii="Arial" w:hAnsi="Arial" w:cs="Arial"/>
                <w:sz w:val="22"/>
                <w:szCs w:val="22"/>
                <w:lang w:val="en-AU"/>
              </w:rPr>
              <w:t>School of Medicine, University of Queensland, Herston, Queensland, Australia</w:t>
            </w:r>
          </w:p>
          <w:p w14:paraId="005B27F0" w14:textId="77777777" w:rsidR="003B4CC5" w:rsidRPr="008B6C23" w:rsidRDefault="003B4CC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B6C23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/>
              </w:rPr>
              <w:t>5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 xml:space="preserve">The Prince Charles Hospital, Chermside, Queensland, Australia </w:t>
            </w:r>
          </w:p>
          <w:p w14:paraId="4417C8ED" w14:textId="77777777" w:rsidR="003B4CC5" w:rsidRPr="008B6C23" w:rsidRDefault="003B4CC5" w:rsidP="0073151B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B6C23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6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>Department of Infectious Diseases, Sunshine Coast University Hospital, Birtinya, Queensland, Australia</w:t>
            </w:r>
          </w:p>
          <w:p w14:paraId="45ED36BF" w14:textId="1EB24BAE" w:rsidR="001564A4" w:rsidRPr="003B4CC5" w:rsidRDefault="003B4CC5" w:rsidP="0073151B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B6C23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7</w:t>
            </w:r>
            <w:r w:rsidRPr="008B6C23">
              <w:rPr>
                <w:rFonts w:ascii="Arial" w:hAnsi="Arial" w:cs="Arial"/>
                <w:sz w:val="22"/>
                <w:szCs w:val="22"/>
                <w:lang w:val="en-AU"/>
              </w:rPr>
              <w:t>School of Medicine and Dentistry, Griffith University, Sunshine Coast, Queensland, Australia</w:t>
            </w:r>
          </w:p>
        </w:tc>
      </w:tr>
      <w:tr w:rsidR="001564A4" w:rsidRPr="0050053A" w14:paraId="6DAF615A" w14:textId="77777777" w:rsidTr="00445C29">
        <w:trPr>
          <w:trHeight w:hRule="exact" w:val="9300"/>
          <w:jc w:val="center"/>
        </w:trPr>
        <w:tc>
          <w:tcPr>
            <w:tcW w:w="8640" w:type="dxa"/>
            <w:shd w:val="clear" w:color="auto" w:fill="auto"/>
          </w:tcPr>
          <w:p w14:paraId="7303290C" w14:textId="77777777" w:rsidR="00441F2D" w:rsidRPr="008B6C23" w:rsidRDefault="001564A4" w:rsidP="000A28E2">
            <w:pPr>
              <w:pStyle w:val="Pa12"/>
              <w:rPr>
                <w:rStyle w:val="A4"/>
                <w:b/>
                <w:bCs/>
                <w:u w:val="single"/>
              </w:rPr>
            </w:pPr>
            <w:r w:rsidRPr="008B6C23">
              <w:rPr>
                <w:rStyle w:val="A4"/>
                <w:b/>
                <w:bCs/>
                <w:u w:val="single"/>
              </w:rPr>
              <w:t xml:space="preserve">Introduction/Aim: </w:t>
            </w:r>
          </w:p>
          <w:p w14:paraId="3D770CF7" w14:textId="47637988" w:rsidR="001564A4" w:rsidRPr="008B6C23" w:rsidRDefault="005907FC" w:rsidP="000A28E2">
            <w:pPr>
              <w:pStyle w:val="Pa12"/>
              <w:rPr>
                <w:rStyle w:val="A4"/>
              </w:rPr>
            </w:pPr>
            <w:r w:rsidRPr="008B6C23">
              <w:rPr>
                <w:bCs/>
                <w:sz w:val="22"/>
                <w:szCs w:val="22"/>
                <w:lang w:val="en-AU"/>
              </w:rPr>
              <w:t>Pleural space infections (PSIs) are common and associated with substantial morbidity</w:t>
            </w:r>
            <w:r w:rsidR="00941F13">
              <w:rPr>
                <w:bCs/>
                <w:sz w:val="22"/>
                <w:szCs w:val="22"/>
                <w:lang w:val="en-AU"/>
              </w:rPr>
              <w:t xml:space="preserve"> </w:t>
            </w:r>
            <w:r w:rsidRPr="008B6C23">
              <w:rPr>
                <w:bCs/>
                <w:sz w:val="22"/>
                <w:szCs w:val="22"/>
                <w:lang w:val="en-AU"/>
              </w:rPr>
              <w:t xml:space="preserve">and mortality. PSI </w:t>
            </w:r>
            <w:r w:rsidR="0087346D">
              <w:rPr>
                <w:bCs/>
                <w:sz w:val="22"/>
                <w:szCs w:val="22"/>
                <w:lang w:val="en-AU"/>
              </w:rPr>
              <w:t>d</w:t>
            </w:r>
            <w:r w:rsidR="0087346D" w:rsidRPr="008B6C23">
              <w:rPr>
                <w:bCs/>
                <w:sz w:val="22"/>
                <w:szCs w:val="22"/>
                <w:lang w:val="en-AU"/>
              </w:rPr>
              <w:t xml:space="preserve">iagnosis </w:t>
            </w:r>
            <w:r w:rsidRPr="008B6C23">
              <w:rPr>
                <w:bCs/>
                <w:sz w:val="22"/>
                <w:szCs w:val="22"/>
                <w:lang w:val="en-AU"/>
              </w:rPr>
              <w:t>remains challenging due to low culture positivity rates, frequent polymicrobial involvement, and non-specific diagnostic biomarkers.</w:t>
            </w:r>
            <w:r w:rsidR="00941F13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A622A0">
              <w:rPr>
                <w:bCs/>
                <w:sz w:val="22"/>
                <w:szCs w:val="22"/>
                <w:lang w:val="en-AU"/>
              </w:rPr>
              <w:t>Here, we</w:t>
            </w:r>
            <w:r w:rsidR="0087346D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941F13">
              <w:rPr>
                <w:bCs/>
                <w:sz w:val="22"/>
                <w:szCs w:val="22"/>
                <w:lang w:val="en-AU"/>
              </w:rPr>
              <w:t>compare</w:t>
            </w:r>
            <w:r w:rsidR="0087346D">
              <w:rPr>
                <w:bCs/>
                <w:sz w:val="22"/>
                <w:szCs w:val="22"/>
                <w:lang w:val="en-AU"/>
              </w:rPr>
              <w:t>d</w:t>
            </w:r>
            <w:r w:rsidR="00941F13">
              <w:rPr>
                <w:bCs/>
                <w:sz w:val="22"/>
                <w:szCs w:val="22"/>
                <w:lang w:val="en-AU"/>
              </w:rPr>
              <w:t xml:space="preserve"> the </w:t>
            </w:r>
            <w:r w:rsidR="0087346D">
              <w:rPr>
                <w:sz w:val="22"/>
                <w:szCs w:val="22"/>
              </w:rPr>
              <w:t>performance</w:t>
            </w:r>
            <w:r w:rsidRPr="008B6C23">
              <w:rPr>
                <w:sz w:val="22"/>
                <w:szCs w:val="22"/>
              </w:rPr>
              <w:t xml:space="preserve"> of culture-independent</w:t>
            </w:r>
            <w:r w:rsidR="00261013" w:rsidRPr="008B6C23">
              <w:rPr>
                <w:sz w:val="22"/>
                <w:szCs w:val="22"/>
              </w:rPr>
              <w:t xml:space="preserve"> molecular</w:t>
            </w:r>
            <w:r w:rsidRPr="008B6C23">
              <w:rPr>
                <w:sz w:val="22"/>
                <w:szCs w:val="22"/>
              </w:rPr>
              <w:t xml:space="preserve"> </w:t>
            </w:r>
            <w:r w:rsidR="00637781">
              <w:rPr>
                <w:sz w:val="22"/>
                <w:szCs w:val="22"/>
              </w:rPr>
              <w:t>methods</w:t>
            </w:r>
            <w:r w:rsidR="000357FA">
              <w:rPr>
                <w:sz w:val="22"/>
                <w:szCs w:val="22"/>
              </w:rPr>
              <w:t xml:space="preserve"> </w:t>
            </w:r>
            <w:r w:rsidR="0087346D">
              <w:rPr>
                <w:sz w:val="22"/>
                <w:szCs w:val="22"/>
              </w:rPr>
              <w:t xml:space="preserve">with </w:t>
            </w:r>
            <w:r w:rsidR="000357FA">
              <w:rPr>
                <w:sz w:val="22"/>
                <w:szCs w:val="22"/>
              </w:rPr>
              <w:t>conventional culture</w:t>
            </w:r>
            <w:r w:rsidR="000357FA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87346D">
              <w:rPr>
                <w:bCs/>
                <w:sz w:val="22"/>
                <w:szCs w:val="22"/>
                <w:lang w:val="en-AU"/>
              </w:rPr>
              <w:t xml:space="preserve">for diagnosing </w:t>
            </w:r>
            <w:r w:rsidR="007F3CFB">
              <w:rPr>
                <w:bCs/>
                <w:sz w:val="22"/>
                <w:szCs w:val="22"/>
                <w:lang w:val="en-AU"/>
              </w:rPr>
              <w:t>PSI.</w:t>
            </w:r>
          </w:p>
          <w:p w14:paraId="27DA018C" w14:textId="77777777" w:rsidR="00441F2D" w:rsidRPr="008B6C23" w:rsidRDefault="001564A4" w:rsidP="00545267">
            <w:pPr>
              <w:pStyle w:val="Pa12"/>
              <w:rPr>
                <w:rStyle w:val="A4"/>
                <w:b/>
                <w:bCs/>
                <w:u w:val="single"/>
              </w:rPr>
            </w:pPr>
            <w:r w:rsidRPr="008B6C23">
              <w:rPr>
                <w:rStyle w:val="A4"/>
                <w:b/>
                <w:bCs/>
                <w:u w:val="single"/>
              </w:rPr>
              <w:t xml:space="preserve">Methods: </w:t>
            </w:r>
          </w:p>
          <w:p w14:paraId="5D00F26C" w14:textId="30FB27FA" w:rsidR="00A91CC5" w:rsidRPr="008B6C23" w:rsidRDefault="007444F5" w:rsidP="00545267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8B6C23">
              <w:rPr>
                <w:sz w:val="22"/>
                <w:szCs w:val="22"/>
              </w:rPr>
              <w:t>We performed a prospective observational single-centr</w:t>
            </w:r>
            <w:r w:rsidR="0087346D">
              <w:rPr>
                <w:sz w:val="22"/>
                <w:szCs w:val="22"/>
              </w:rPr>
              <w:t>e</w:t>
            </w:r>
            <w:r w:rsidRPr="008B6C23">
              <w:rPr>
                <w:sz w:val="22"/>
                <w:szCs w:val="22"/>
              </w:rPr>
              <w:t xml:space="preserve"> study </w:t>
            </w:r>
            <w:r w:rsidR="0087346D">
              <w:rPr>
                <w:sz w:val="22"/>
                <w:szCs w:val="22"/>
              </w:rPr>
              <w:t>of</w:t>
            </w:r>
            <w:r w:rsidR="0087346D" w:rsidRPr="008B6C23">
              <w:rPr>
                <w:sz w:val="22"/>
                <w:szCs w:val="22"/>
              </w:rPr>
              <w:t xml:space="preserve"> </w:t>
            </w:r>
            <w:r w:rsidRPr="008B6C23">
              <w:rPr>
                <w:sz w:val="22"/>
                <w:szCs w:val="22"/>
              </w:rPr>
              <w:t>26</w:t>
            </w:r>
            <w:r w:rsidR="007F3CFB">
              <w:rPr>
                <w:sz w:val="22"/>
                <w:szCs w:val="22"/>
              </w:rPr>
              <w:t xml:space="preserve"> </w:t>
            </w:r>
            <w:r w:rsidRPr="008B6C23">
              <w:rPr>
                <w:sz w:val="22"/>
                <w:szCs w:val="22"/>
              </w:rPr>
              <w:t>patients</w:t>
            </w:r>
            <w:r w:rsidR="007F3CFB">
              <w:rPr>
                <w:sz w:val="22"/>
                <w:szCs w:val="22"/>
              </w:rPr>
              <w:t xml:space="preserve"> </w:t>
            </w:r>
            <w:r w:rsidRPr="008B6C23">
              <w:rPr>
                <w:sz w:val="22"/>
                <w:szCs w:val="22"/>
              </w:rPr>
              <w:t xml:space="preserve">with </w:t>
            </w:r>
            <w:r w:rsidR="00077109">
              <w:rPr>
                <w:sz w:val="22"/>
                <w:szCs w:val="22"/>
              </w:rPr>
              <w:t xml:space="preserve">clinically </w:t>
            </w:r>
            <w:r w:rsidRPr="008B6C23">
              <w:rPr>
                <w:sz w:val="22"/>
                <w:szCs w:val="22"/>
              </w:rPr>
              <w:t>suspected PSI and 10 control patients</w:t>
            </w:r>
            <w:r w:rsidR="003F2DF3">
              <w:rPr>
                <w:sz w:val="22"/>
                <w:szCs w:val="22"/>
              </w:rPr>
              <w:t xml:space="preserve"> with non-infectious pleural effusion</w:t>
            </w:r>
            <w:r w:rsidRPr="008B6C23">
              <w:rPr>
                <w:sz w:val="22"/>
                <w:szCs w:val="22"/>
              </w:rPr>
              <w:t xml:space="preserve">. </w:t>
            </w:r>
            <w:r w:rsidR="00EE353F">
              <w:rPr>
                <w:sz w:val="22"/>
                <w:szCs w:val="22"/>
              </w:rPr>
              <w:t>I</w:t>
            </w:r>
            <w:r w:rsidR="00EE353F" w:rsidRPr="008B6C23">
              <w:rPr>
                <w:sz w:val="22"/>
                <w:szCs w:val="22"/>
              </w:rPr>
              <w:t xml:space="preserve">n addition to routine </w:t>
            </w:r>
            <w:r w:rsidR="00733BBC">
              <w:rPr>
                <w:sz w:val="22"/>
                <w:szCs w:val="22"/>
              </w:rPr>
              <w:t xml:space="preserve">conventional culture, </w:t>
            </w:r>
            <w:r w:rsidR="00EE353F" w:rsidRPr="008B6C23">
              <w:rPr>
                <w:sz w:val="22"/>
                <w:szCs w:val="22"/>
              </w:rPr>
              <w:t>microscopy and biochemistry analyses</w:t>
            </w:r>
            <w:r w:rsidR="00EE353F">
              <w:rPr>
                <w:sz w:val="22"/>
                <w:szCs w:val="22"/>
              </w:rPr>
              <w:t>,</w:t>
            </w:r>
            <w:r w:rsidR="00EE353F" w:rsidRPr="008B6C23">
              <w:rPr>
                <w:sz w:val="22"/>
                <w:szCs w:val="22"/>
              </w:rPr>
              <w:t xml:space="preserve"> </w:t>
            </w:r>
            <w:r w:rsidR="00EE353F">
              <w:rPr>
                <w:sz w:val="22"/>
                <w:szCs w:val="22"/>
              </w:rPr>
              <w:t>p</w:t>
            </w:r>
            <w:r w:rsidR="00EE353F" w:rsidRPr="008B6C23">
              <w:rPr>
                <w:sz w:val="22"/>
                <w:szCs w:val="22"/>
              </w:rPr>
              <w:t xml:space="preserve">leural </w:t>
            </w:r>
            <w:r w:rsidR="00353166" w:rsidRPr="008B6C23">
              <w:rPr>
                <w:sz w:val="22"/>
                <w:szCs w:val="22"/>
              </w:rPr>
              <w:t xml:space="preserve">fluid </w:t>
            </w:r>
            <w:r w:rsidR="0087346D">
              <w:rPr>
                <w:sz w:val="22"/>
                <w:szCs w:val="22"/>
              </w:rPr>
              <w:t xml:space="preserve">was </w:t>
            </w:r>
            <w:r w:rsidR="00514081" w:rsidRPr="008B6C23">
              <w:rPr>
                <w:sz w:val="22"/>
                <w:szCs w:val="22"/>
              </w:rPr>
              <w:t>subjected to</w:t>
            </w:r>
            <w:r w:rsidR="00525CF4" w:rsidRPr="008B6C23">
              <w:rPr>
                <w:sz w:val="22"/>
                <w:szCs w:val="22"/>
              </w:rPr>
              <w:t xml:space="preserve"> </w:t>
            </w:r>
            <w:r w:rsidR="005616A8" w:rsidRPr="008B6C23">
              <w:rPr>
                <w:sz w:val="22"/>
                <w:szCs w:val="22"/>
              </w:rPr>
              <w:t>shotgun m</w:t>
            </w:r>
            <w:r w:rsidR="00A10A56" w:rsidRPr="008B6C23">
              <w:rPr>
                <w:sz w:val="22"/>
                <w:szCs w:val="22"/>
              </w:rPr>
              <w:t xml:space="preserve">etagenomics, bacterial </w:t>
            </w:r>
            <w:r w:rsidR="0087346D" w:rsidRPr="008B6C23">
              <w:rPr>
                <w:sz w:val="22"/>
                <w:szCs w:val="22"/>
              </w:rPr>
              <w:t>metataxonomics</w:t>
            </w:r>
            <w:r w:rsidR="00A10A56" w:rsidRPr="008B6C23">
              <w:rPr>
                <w:sz w:val="22"/>
                <w:szCs w:val="22"/>
              </w:rPr>
              <w:t xml:space="preserve">, </w:t>
            </w:r>
            <w:r w:rsidR="00D16649">
              <w:rPr>
                <w:sz w:val="22"/>
                <w:szCs w:val="22"/>
              </w:rPr>
              <w:t xml:space="preserve">and </w:t>
            </w:r>
            <w:r w:rsidR="00971DE4">
              <w:rPr>
                <w:sz w:val="22"/>
                <w:szCs w:val="22"/>
              </w:rPr>
              <w:t xml:space="preserve">panbacterial </w:t>
            </w:r>
            <w:r w:rsidR="00A10A56" w:rsidRPr="008B6C23">
              <w:rPr>
                <w:sz w:val="22"/>
                <w:szCs w:val="22"/>
              </w:rPr>
              <w:t>quantitative PCR</w:t>
            </w:r>
            <w:r w:rsidR="00D81292">
              <w:rPr>
                <w:sz w:val="22"/>
                <w:szCs w:val="22"/>
              </w:rPr>
              <w:t xml:space="preserve"> (qPCR)</w:t>
            </w:r>
            <w:r w:rsidR="00D16649">
              <w:rPr>
                <w:sz w:val="22"/>
                <w:szCs w:val="22"/>
              </w:rPr>
              <w:t xml:space="preserve">. </w:t>
            </w:r>
            <w:r w:rsidR="00EE353F">
              <w:rPr>
                <w:sz w:val="22"/>
                <w:szCs w:val="22"/>
              </w:rPr>
              <w:t>D</w:t>
            </w:r>
            <w:r w:rsidRPr="008B6C23">
              <w:rPr>
                <w:sz w:val="22"/>
                <w:szCs w:val="22"/>
              </w:rPr>
              <w:t xml:space="preserve">iagnostic performance of </w:t>
            </w:r>
            <w:r w:rsidR="00525CF4" w:rsidRPr="008B6C23">
              <w:rPr>
                <w:sz w:val="22"/>
                <w:szCs w:val="22"/>
              </w:rPr>
              <w:t>these culture-independent techn</w:t>
            </w:r>
            <w:r w:rsidR="00C26314" w:rsidRPr="008B6C23">
              <w:rPr>
                <w:sz w:val="22"/>
                <w:szCs w:val="22"/>
              </w:rPr>
              <w:t>iques</w:t>
            </w:r>
            <w:r w:rsidR="00DF1921" w:rsidRPr="008B6C23">
              <w:rPr>
                <w:sz w:val="22"/>
                <w:szCs w:val="22"/>
              </w:rPr>
              <w:t xml:space="preserve"> </w:t>
            </w:r>
            <w:r w:rsidR="0087346D" w:rsidRPr="008B6C23">
              <w:rPr>
                <w:sz w:val="22"/>
                <w:szCs w:val="22"/>
              </w:rPr>
              <w:t>were</w:t>
            </w:r>
            <w:r w:rsidR="0087346D">
              <w:rPr>
                <w:sz w:val="22"/>
                <w:szCs w:val="22"/>
              </w:rPr>
              <w:t xml:space="preserve"> </w:t>
            </w:r>
            <w:r w:rsidR="000A7BE9">
              <w:rPr>
                <w:sz w:val="22"/>
                <w:szCs w:val="22"/>
              </w:rPr>
              <w:t xml:space="preserve">then </w:t>
            </w:r>
            <w:r w:rsidR="0087346D" w:rsidRPr="008B6C23">
              <w:rPr>
                <w:sz w:val="22"/>
                <w:szCs w:val="22"/>
              </w:rPr>
              <w:t xml:space="preserve">compared </w:t>
            </w:r>
            <w:r w:rsidR="0087346D">
              <w:rPr>
                <w:sz w:val="22"/>
                <w:szCs w:val="22"/>
              </w:rPr>
              <w:t>with</w:t>
            </w:r>
            <w:r w:rsidR="0087346D" w:rsidRPr="008B6C23">
              <w:rPr>
                <w:sz w:val="22"/>
                <w:szCs w:val="22"/>
              </w:rPr>
              <w:t xml:space="preserve"> </w:t>
            </w:r>
            <w:r w:rsidR="00DF1921" w:rsidRPr="008B6C23">
              <w:rPr>
                <w:sz w:val="22"/>
                <w:szCs w:val="22"/>
              </w:rPr>
              <w:t>conventional</w:t>
            </w:r>
            <w:r w:rsidR="00683AB0" w:rsidRPr="008B6C23">
              <w:rPr>
                <w:sz w:val="22"/>
                <w:szCs w:val="22"/>
              </w:rPr>
              <w:t xml:space="preserve"> culture.</w:t>
            </w:r>
          </w:p>
          <w:p w14:paraId="5A1AF689" w14:textId="77777777" w:rsidR="00441F2D" w:rsidRPr="008B6C23" w:rsidRDefault="001564A4" w:rsidP="000A28E2">
            <w:pPr>
              <w:pStyle w:val="Pa12"/>
              <w:rPr>
                <w:rStyle w:val="A4"/>
                <w:b/>
                <w:bCs/>
                <w:u w:val="single"/>
              </w:rPr>
            </w:pPr>
            <w:r w:rsidRPr="008B6C23">
              <w:rPr>
                <w:rStyle w:val="A4"/>
                <w:b/>
                <w:bCs/>
                <w:u w:val="single"/>
              </w:rPr>
              <w:t>Results:</w:t>
            </w:r>
          </w:p>
          <w:p w14:paraId="68537800" w14:textId="22BE23DB" w:rsidR="001564A4" w:rsidRPr="008B6C23" w:rsidRDefault="001618D6" w:rsidP="000A28E2">
            <w:pPr>
              <w:pStyle w:val="Pa12"/>
              <w:rPr>
                <w:rStyle w:val="A4"/>
                <w:b/>
                <w:bCs/>
              </w:rPr>
            </w:pPr>
            <w:r w:rsidRPr="008B6C23">
              <w:rPr>
                <w:bCs/>
                <w:sz w:val="22"/>
                <w:szCs w:val="22"/>
                <w:lang w:val="en-AU"/>
              </w:rPr>
              <w:t xml:space="preserve">All 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culture-independent molecular techniques </w:t>
            </w:r>
            <w:r w:rsidR="008B6C23" w:rsidRPr="008B6C23">
              <w:rPr>
                <w:sz w:val="22"/>
                <w:szCs w:val="22"/>
                <w:lang w:val="en-AU"/>
              </w:rPr>
              <w:t>demonstrated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 superior sensitivity and negative predictive value</w:t>
            </w:r>
            <w:r w:rsidRPr="008B6C23">
              <w:rPr>
                <w:sz w:val="22"/>
                <w:szCs w:val="22"/>
                <w:lang w:val="en-AU"/>
              </w:rPr>
              <w:t>s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 compared with conventional culture for PSI diagnosis.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 </w:t>
            </w:r>
            <w:r w:rsidR="00694197">
              <w:rPr>
                <w:sz w:val="22"/>
                <w:szCs w:val="22"/>
                <w:lang w:val="en-AU"/>
              </w:rPr>
              <w:t>Additionally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, </w:t>
            </w:r>
            <w:r w:rsidR="0087346D">
              <w:rPr>
                <w:sz w:val="22"/>
                <w:szCs w:val="22"/>
                <w:lang w:val="en-AU"/>
              </w:rPr>
              <w:t>metagenomics and bacterial metataxonomics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 </w:t>
            </w:r>
            <w:r w:rsidR="0087346D">
              <w:rPr>
                <w:sz w:val="22"/>
                <w:szCs w:val="22"/>
                <w:lang w:val="en-AU"/>
              </w:rPr>
              <w:t xml:space="preserve">detected 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polymicrobial </w:t>
            </w:r>
            <w:r w:rsidR="00D81292">
              <w:rPr>
                <w:sz w:val="22"/>
                <w:szCs w:val="22"/>
                <w:lang w:val="en-AU"/>
              </w:rPr>
              <w:t xml:space="preserve">bacterial </w:t>
            </w:r>
            <w:r w:rsidR="0087346D">
              <w:rPr>
                <w:sz w:val="22"/>
                <w:szCs w:val="22"/>
                <w:lang w:val="en-AU"/>
              </w:rPr>
              <w:t xml:space="preserve">infections, </w:t>
            </w:r>
            <w:r w:rsidR="0015015C">
              <w:rPr>
                <w:sz w:val="22"/>
                <w:szCs w:val="22"/>
                <w:lang w:val="en-AU"/>
              </w:rPr>
              <w:t>with</w:t>
            </w:r>
            <w:r w:rsidR="0087346D">
              <w:rPr>
                <w:sz w:val="22"/>
                <w:szCs w:val="22"/>
                <w:lang w:val="en-AU"/>
              </w:rPr>
              <w:t xml:space="preserve"> metagenomics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 </w:t>
            </w:r>
            <w:r w:rsidR="00D81292">
              <w:rPr>
                <w:sz w:val="22"/>
                <w:szCs w:val="22"/>
                <w:lang w:val="en-AU"/>
              </w:rPr>
              <w:t xml:space="preserve">also </w:t>
            </w:r>
            <w:r w:rsidR="00862836" w:rsidRPr="008B6C23">
              <w:rPr>
                <w:sz w:val="22"/>
                <w:szCs w:val="22"/>
                <w:lang w:val="en-AU"/>
              </w:rPr>
              <w:t>detect</w:t>
            </w:r>
            <w:r w:rsidR="00D81292">
              <w:rPr>
                <w:sz w:val="22"/>
                <w:szCs w:val="22"/>
                <w:lang w:val="en-AU"/>
              </w:rPr>
              <w:t>ing</w:t>
            </w:r>
            <w:r w:rsidR="00862836" w:rsidRPr="008B6C23">
              <w:rPr>
                <w:sz w:val="22"/>
                <w:szCs w:val="22"/>
                <w:lang w:val="en-AU"/>
              </w:rPr>
              <w:t xml:space="preserve"> fungi and DNA viruses</w:t>
            </w:r>
            <w:r w:rsidR="000A7BE9">
              <w:rPr>
                <w:sz w:val="22"/>
                <w:szCs w:val="22"/>
                <w:lang w:val="en-AU"/>
              </w:rPr>
              <w:t xml:space="preserve"> </w:t>
            </w:r>
            <w:r w:rsidR="0068428D">
              <w:rPr>
                <w:sz w:val="22"/>
                <w:szCs w:val="22"/>
                <w:lang w:val="en-AU"/>
              </w:rPr>
              <w:t>within</w:t>
            </w:r>
            <w:r w:rsidR="000A7BE9">
              <w:rPr>
                <w:sz w:val="22"/>
                <w:szCs w:val="22"/>
                <w:lang w:val="en-AU"/>
              </w:rPr>
              <w:t xml:space="preserve"> pleural fluid</w:t>
            </w:r>
            <w:r w:rsidR="00BE65DA">
              <w:rPr>
                <w:sz w:val="22"/>
                <w:szCs w:val="22"/>
                <w:lang w:val="en-AU"/>
              </w:rPr>
              <w:t xml:space="preserve">. </w:t>
            </w:r>
            <w:r w:rsidR="00D81292">
              <w:rPr>
                <w:sz w:val="22"/>
                <w:szCs w:val="22"/>
                <w:lang w:val="en-AU"/>
              </w:rPr>
              <w:t>M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etagenomics and </w:t>
            </w:r>
            <w:r w:rsidR="000F3417">
              <w:rPr>
                <w:sz w:val="22"/>
                <w:szCs w:val="22"/>
                <w:lang w:val="en-AU"/>
              </w:rPr>
              <w:t>bacterial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 metataxonomics unveil</w:t>
            </w:r>
            <w:r w:rsidR="00B32F0E" w:rsidRPr="008B6C23">
              <w:rPr>
                <w:sz w:val="22"/>
                <w:szCs w:val="22"/>
                <w:lang w:val="en-AU"/>
              </w:rPr>
              <w:t>ed</w:t>
            </w:r>
            <w:r w:rsidR="00307831" w:rsidRPr="008B6C23">
              <w:rPr>
                <w:sz w:val="22"/>
                <w:szCs w:val="22"/>
                <w:lang w:val="en-AU"/>
              </w:rPr>
              <w:t xml:space="preserve"> </w:t>
            </w:r>
            <w:r w:rsidR="00623A18">
              <w:rPr>
                <w:sz w:val="22"/>
                <w:szCs w:val="22"/>
                <w:lang w:val="en-AU"/>
              </w:rPr>
              <w:t xml:space="preserve">considerable </w:t>
            </w:r>
            <w:r w:rsidR="007E7710">
              <w:rPr>
                <w:sz w:val="22"/>
                <w:szCs w:val="22"/>
                <w:lang w:val="en-AU"/>
              </w:rPr>
              <w:t xml:space="preserve">microbial </w:t>
            </w:r>
            <w:r w:rsidR="00623A18">
              <w:rPr>
                <w:sz w:val="22"/>
                <w:szCs w:val="22"/>
                <w:lang w:val="en-AU"/>
              </w:rPr>
              <w:t xml:space="preserve">diversity </w:t>
            </w:r>
            <w:r w:rsidR="00307831" w:rsidRPr="008B6C23">
              <w:rPr>
                <w:sz w:val="22"/>
                <w:szCs w:val="22"/>
                <w:lang w:val="en-AU"/>
              </w:rPr>
              <w:t>across the pleural infection spectrum</w:t>
            </w:r>
            <w:r w:rsidR="00694197">
              <w:rPr>
                <w:sz w:val="22"/>
                <w:szCs w:val="22"/>
                <w:lang w:val="en-AU"/>
              </w:rPr>
              <w:t xml:space="preserve">, </w:t>
            </w:r>
            <w:r w:rsidR="00FE62DE">
              <w:rPr>
                <w:sz w:val="22"/>
                <w:szCs w:val="22"/>
                <w:lang w:val="en-AU"/>
              </w:rPr>
              <w:t>including</w:t>
            </w:r>
            <w:r w:rsidR="00D81292" w:rsidRPr="006E206E">
              <w:rPr>
                <w:sz w:val="22"/>
                <w:szCs w:val="22"/>
                <w:lang w:val="en-AU"/>
              </w:rPr>
              <w:t xml:space="preserve"> </w:t>
            </w:r>
            <w:r w:rsidR="006E206E" w:rsidRPr="006E206E">
              <w:rPr>
                <w:sz w:val="22"/>
                <w:szCs w:val="22"/>
                <w:lang w:val="en-AU"/>
              </w:rPr>
              <w:t>streptococci (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S. intermedius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,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S. pyogenes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,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S. mitis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),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Prevotella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 spp. (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P. oris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,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P. pleuritidis</w:t>
            </w:r>
            <w:r w:rsidR="006E206E" w:rsidRPr="006E206E">
              <w:rPr>
                <w:sz w:val="22"/>
                <w:szCs w:val="22"/>
                <w:lang w:val="en-AU"/>
              </w:rPr>
              <w:t>), staphylococci (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S. aureus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,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S. saprophyticus</w:t>
            </w:r>
            <w:r w:rsidR="006E206E" w:rsidRPr="006E206E">
              <w:rPr>
                <w:sz w:val="22"/>
                <w:szCs w:val="22"/>
                <w:lang w:val="en-AU"/>
              </w:rPr>
              <w:t xml:space="preserve">), and </w:t>
            </w:r>
            <w:r w:rsidR="006E206E" w:rsidRPr="003317DF">
              <w:rPr>
                <w:i/>
                <w:iCs/>
                <w:sz w:val="22"/>
                <w:szCs w:val="22"/>
                <w:lang w:val="en-AU"/>
              </w:rPr>
              <w:t>Klebsiella pneumoniae</w:t>
            </w:r>
            <w:r w:rsidR="006E206E" w:rsidRPr="006E206E">
              <w:rPr>
                <w:sz w:val="22"/>
                <w:szCs w:val="22"/>
                <w:lang w:val="en-AU"/>
              </w:rPr>
              <w:t>.</w:t>
            </w:r>
            <w:r w:rsidR="00EE353F">
              <w:rPr>
                <w:sz w:val="22"/>
                <w:szCs w:val="22"/>
                <w:lang w:val="en-AU"/>
              </w:rPr>
              <w:t xml:space="preserve"> </w:t>
            </w:r>
          </w:p>
          <w:p w14:paraId="652F7BE1" w14:textId="77777777" w:rsidR="001564A4" w:rsidRPr="008B6C23" w:rsidRDefault="001564A4" w:rsidP="000A28E2">
            <w:pPr>
              <w:pStyle w:val="Pa12"/>
              <w:rPr>
                <w:rStyle w:val="A4"/>
                <w:b/>
                <w:bCs/>
                <w:u w:val="single"/>
              </w:rPr>
            </w:pPr>
            <w:r w:rsidRPr="008B6C23">
              <w:rPr>
                <w:rStyle w:val="A4"/>
                <w:b/>
                <w:bCs/>
                <w:u w:val="single"/>
              </w:rPr>
              <w:t xml:space="preserve">Conclusion: </w:t>
            </w:r>
          </w:p>
          <w:p w14:paraId="196E7BAC" w14:textId="537255FF" w:rsidR="001564A4" w:rsidRPr="008B6C23" w:rsidRDefault="00D81292" w:rsidP="000A28E2">
            <w:pPr>
              <w:pStyle w:val="Pa12"/>
              <w:rPr>
                <w:bCs/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Our</w:t>
            </w:r>
            <w:r w:rsidRPr="008B6C23">
              <w:rPr>
                <w:sz w:val="22"/>
                <w:szCs w:val="22"/>
                <w:lang w:val="en-AU"/>
              </w:rPr>
              <w:t xml:space="preserve"> </w:t>
            </w:r>
            <w:r>
              <w:rPr>
                <w:sz w:val="22"/>
                <w:szCs w:val="22"/>
                <w:lang w:val="en-AU"/>
              </w:rPr>
              <w:t xml:space="preserve">findings </w:t>
            </w:r>
            <w:r w:rsidR="00841B11" w:rsidRPr="008B6C23">
              <w:rPr>
                <w:bCs/>
                <w:sz w:val="22"/>
                <w:szCs w:val="22"/>
                <w:lang w:val="en-AU"/>
              </w:rPr>
              <w:t xml:space="preserve">demonstrate the utility of molecular methods </w:t>
            </w:r>
            <w:r w:rsidR="00E27B7F">
              <w:rPr>
                <w:bCs/>
                <w:sz w:val="22"/>
                <w:szCs w:val="22"/>
                <w:lang w:val="en-AU"/>
              </w:rPr>
              <w:t>for</w:t>
            </w:r>
            <w:r w:rsidR="00E27B7F" w:rsidRPr="008B6C23">
              <w:rPr>
                <w:bCs/>
                <w:sz w:val="22"/>
                <w:szCs w:val="22"/>
                <w:lang w:val="en-AU"/>
              </w:rPr>
              <w:t xml:space="preserve"> </w:t>
            </w:r>
            <w:r w:rsidR="002D5097">
              <w:rPr>
                <w:bCs/>
                <w:sz w:val="22"/>
                <w:szCs w:val="22"/>
                <w:lang w:val="en-AU"/>
              </w:rPr>
              <w:t xml:space="preserve">more </w:t>
            </w:r>
            <w:r w:rsidR="00841B11" w:rsidRPr="008B6C23">
              <w:rPr>
                <w:bCs/>
                <w:sz w:val="22"/>
                <w:szCs w:val="22"/>
                <w:lang w:val="en-AU"/>
              </w:rPr>
              <w:t xml:space="preserve">accurate </w:t>
            </w:r>
            <w:r w:rsidR="00E27B7F" w:rsidRPr="008B6C23">
              <w:rPr>
                <w:bCs/>
                <w:sz w:val="22"/>
                <w:szCs w:val="22"/>
                <w:lang w:val="en-AU"/>
              </w:rPr>
              <w:t xml:space="preserve">PSI </w:t>
            </w:r>
            <w:r w:rsidR="00841B11" w:rsidRPr="008B6C23">
              <w:rPr>
                <w:bCs/>
                <w:sz w:val="22"/>
                <w:szCs w:val="22"/>
                <w:lang w:val="en-AU"/>
              </w:rPr>
              <w:t>diagnosis, represent</w:t>
            </w:r>
            <w:r w:rsidR="00EE353F">
              <w:rPr>
                <w:bCs/>
                <w:sz w:val="22"/>
                <w:szCs w:val="22"/>
                <w:lang w:val="en-AU"/>
              </w:rPr>
              <w:t>ing</w:t>
            </w:r>
            <w:r w:rsidR="00841B11" w:rsidRPr="008B6C23">
              <w:rPr>
                <w:bCs/>
                <w:sz w:val="22"/>
                <w:szCs w:val="22"/>
                <w:lang w:val="en-AU"/>
              </w:rPr>
              <w:t xml:space="preserve"> an important step towards improving personalised treatment and antimicrobial stewardship in suspected PSI.</w:t>
            </w:r>
            <w:r w:rsidR="00EE353F">
              <w:rPr>
                <w:sz w:val="22"/>
                <w:szCs w:val="22"/>
                <w:lang w:val="en-AU"/>
              </w:rPr>
              <w:t xml:space="preserve"> </w:t>
            </w:r>
            <w:r w:rsidR="000A7BE9">
              <w:rPr>
                <w:sz w:val="22"/>
                <w:szCs w:val="22"/>
                <w:lang w:val="en-AU"/>
              </w:rPr>
              <w:t>Routine i</w:t>
            </w:r>
            <w:r w:rsidR="00EE353F">
              <w:rPr>
                <w:sz w:val="22"/>
                <w:szCs w:val="22"/>
                <w:lang w:val="en-AU"/>
              </w:rPr>
              <w:t xml:space="preserve">mplementation </w:t>
            </w:r>
            <w:r w:rsidR="00F35DD2">
              <w:rPr>
                <w:sz w:val="22"/>
                <w:szCs w:val="22"/>
                <w:lang w:val="en-AU"/>
              </w:rPr>
              <w:t xml:space="preserve">of </w:t>
            </w:r>
            <w:r w:rsidR="005A33C1">
              <w:rPr>
                <w:sz w:val="22"/>
                <w:szCs w:val="22"/>
                <w:lang w:val="en-AU"/>
              </w:rPr>
              <w:t xml:space="preserve">rapid and inexpensive </w:t>
            </w:r>
            <w:r w:rsidR="00260BEE">
              <w:rPr>
                <w:sz w:val="22"/>
                <w:szCs w:val="22"/>
                <w:lang w:val="en-AU"/>
              </w:rPr>
              <w:t>pan</w:t>
            </w:r>
            <w:r w:rsidR="00EE353F">
              <w:rPr>
                <w:sz w:val="22"/>
                <w:szCs w:val="22"/>
                <w:lang w:val="en-AU"/>
              </w:rPr>
              <w:t xml:space="preserve">bacterial qPCR </w:t>
            </w:r>
            <w:r w:rsidR="00F35DD2">
              <w:rPr>
                <w:sz w:val="22"/>
                <w:szCs w:val="22"/>
                <w:lang w:val="en-AU"/>
              </w:rPr>
              <w:t xml:space="preserve">followed by </w:t>
            </w:r>
            <w:r w:rsidR="005A33C1">
              <w:rPr>
                <w:sz w:val="22"/>
                <w:szCs w:val="22"/>
                <w:lang w:val="en-AU"/>
              </w:rPr>
              <w:t xml:space="preserve">more advanced </w:t>
            </w:r>
            <w:r w:rsidR="00077109">
              <w:rPr>
                <w:sz w:val="22"/>
                <w:szCs w:val="22"/>
                <w:lang w:val="en-AU"/>
              </w:rPr>
              <w:t>molecular characterization</w:t>
            </w:r>
            <w:r w:rsidR="00680E7C">
              <w:rPr>
                <w:sz w:val="22"/>
                <w:szCs w:val="22"/>
                <w:lang w:val="en-AU"/>
              </w:rPr>
              <w:t xml:space="preserve"> </w:t>
            </w:r>
            <w:r w:rsidR="000A7BE9">
              <w:rPr>
                <w:sz w:val="22"/>
                <w:szCs w:val="22"/>
                <w:lang w:val="en-AU"/>
              </w:rPr>
              <w:t xml:space="preserve">where required </w:t>
            </w:r>
            <w:r w:rsidR="003046F6">
              <w:rPr>
                <w:sz w:val="22"/>
                <w:szCs w:val="22"/>
                <w:lang w:val="en-AU"/>
              </w:rPr>
              <w:t>should be considered</w:t>
            </w:r>
            <w:r w:rsidR="00CA6628">
              <w:rPr>
                <w:sz w:val="22"/>
                <w:szCs w:val="22"/>
                <w:lang w:val="en-AU"/>
              </w:rPr>
              <w:t xml:space="preserve"> in the </w:t>
            </w:r>
            <w:r w:rsidR="00077109">
              <w:rPr>
                <w:sz w:val="22"/>
                <w:szCs w:val="22"/>
                <w:lang w:val="en-AU"/>
              </w:rPr>
              <w:t xml:space="preserve">diagnostic workup </w:t>
            </w:r>
            <w:r w:rsidR="00CA6628">
              <w:rPr>
                <w:sz w:val="22"/>
                <w:szCs w:val="22"/>
                <w:lang w:val="en-AU"/>
              </w:rPr>
              <w:t xml:space="preserve">of </w:t>
            </w:r>
            <w:r w:rsidR="00077109">
              <w:rPr>
                <w:sz w:val="22"/>
                <w:szCs w:val="22"/>
                <w:lang w:val="en-AU"/>
              </w:rPr>
              <w:t xml:space="preserve">suspected </w:t>
            </w:r>
            <w:r w:rsidR="00CA6628">
              <w:rPr>
                <w:sz w:val="22"/>
                <w:szCs w:val="22"/>
                <w:lang w:val="en-AU"/>
              </w:rPr>
              <w:t>PSI</w:t>
            </w:r>
            <w:r w:rsidR="003046F6">
              <w:rPr>
                <w:sz w:val="22"/>
                <w:szCs w:val="22"/>
                <w:lang w:val="en-AU"/>
              </w:rPr>
              <w:t>.</w:t>
            </w:r>
          </w:p>
          <w:p w14:paraId="093379C7" w14:textId="77777777" w:rsidR="000E3871" w:rsidRPr="000E3871" w:rsidRDefault="000E3871" w:rsidP="000E3871">
            <w:pPr>
              <w:pStyle w:val="Default"/>
              <w:rPr>
                <w:lang w:val="en-AU"/>
              </w:rPr>
            </w:pPr>
          </w:p>
          <w:p w14:paraId="3E8B4283" w14:textId="77777777" w:rsidR="001564A4" w:rsidRPr="006E206E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6E206E">
              <w:rPr>
                <w:rStyle w:val="A4"/>
                <w:b/>
                <w:bCs/>
              </w:rPr>
              <w:t xml:space="preserve">Grant Support: </w:t>
            </w:r>
          </w:p>
          <w:p w14:paraId="26B6BFBA" w14:textId="4DD98329" w:rsidR="00623A18" w:rsidRPr="006D7709" w:rsidRDefault="003B4CC5" w:rsidP="006D7709">
            <w:pPr>
              <w:pStyle w:val="Default"/>
              <w:rPr>
                <w:sz w:val="22"/>
                <w:szCs w:val="22"/>
              </w:rPr>
            </w:pPr>
            <w:r w:rsidRPr="006E206E">
              <w:rPr>
                <w:sz w:val="22"/>
                <w:szCs w:val="22"/>
              </w:rPr>
              <w:t>Wishlist SERTF Seed Grant – $20,000.</w:t>
            </w:r>
            <w:r w:rsidR="001564A4" w:rsidRPr="006E206E">
              <w:rPr>
                <w:sz w:val="22"/>
                <w:szCs w:val="22"/>
              </w:rPr>
              <w:br/>
            </w:r>
            <w:r w:rsidR="00623A18" w:rsidRPr="006E206E">
              <w:rPr>
                <w:b/>
                <w:bCs/>
                <w:sz w:val="22"/>
                <w:szCs w:val="22"/>
              </w:rPr>
              <w:t>Key Words:</w:t>
            </w:r>
          </w:p>
          <w:p w14:paraId="5F58D34F" w14:textId="43CBA497" w:rsidR="001564A4" w:rsidRPr="006E4979" w:rsidRDefault="00623A18" w:rsidP="006E4979">
            <w:pPr>
              <w:pStyle w:val="Pa12"/>
              <w:rPr>
                <w:i/>
                <w:iCs/>
                <w:sz w:val="16"/>
                <w:szCs w:val="16"/>
              </w:rPr>
            </w:pPr>
            <w:r w:rsidRPr="006E206E">
              <w:rPr>
                <w:sz w:val="22"/>
                <w:szCs w:val="22"/>
              </w:rPr>
              <w:t xml:space="preserve">Pleural space infection; </w:t>
            </w:r>
            <w:r w:rsidR="00803CC2" w:rsidRPr="006E206E">
              <w:rPr>
                <w:sz w:val="22"/>
                <w:szCs w:val="22"/>
              </w:rPr>
              <w:t>metagenomics, metataxo</w:t>
            </w:r>
            <w:r w:rsidR="00D70BAF" w:rsidRPr="006E206E">
              <w:rPr>
                <w:sz w:val="22"/>
                <w:szCs w:val="22"/>
              </w:rPr>
              <w:t>nom</w:t>
            </w:r>
            <w:r w:rsidR="00803CC2" w:rsidRPr="006E206E">
              <w:rPr>
                <w:sz w:val="22"/>
                <w:szCs w:val="22"/>
              </w:rPr>
              <w:t xml:space="preserve">ics, </w:t>
            </w:r>
            <w:r w:rsidR="00427434">
              <w:rPr>
                <w:sz w:val="22"/>
                <w:szCs w:val="22"/>
              </w:rPr>
              <w:t xml:space="preserve">qPCR, </w:t>
            </w:r>
            <w:r w:rsidR="00941F13" w:rsidRPr="006E206E">
              <w:rPr>
                <w:sz w:val="22"/>
                <w:szCs w:val="22"/>
              </w:rPr>
              <w:t xml:space="preserve">molecular </w:t>
            </w:r>
            <w:r w:rsidR="00803CC2" w:rsidRPr="006E206E">
              <w:rPr>
                <w:sz w:val="22"/>
                <w:szCs w:val="22"/>
              </w:rPr>
              <w:t>diagnostics</w:t>
            </w:r>
            <w:r w:rsidR="001564A4" w:rsidRPr="00545267">
              <w:rPr>
                <w:sz w:val="20"/>
                <w:szCs w:val="20"/>
              </w:rPr>
              <w:br/>
            </w:r>
            <w:r w:rsidR="000F2DD8" w:rsidRPr="00AD0B7F">
              <w:rPr>
                <w:i/>
                <w:iCs/>
                <w:sz w:val="16"/>
                <w:szCs w:val="16"/>
              </w:rPr>
              <w:t>#</w:t>
            </w:r>
            <w:r w:rsidR="00AD0B7F" w:rsidRPr="00AD0B7F">
              <w:rPr>
                <w:i/>
                <w:iCs/>
                <w:sz w:val="16"/>
                <w:szCs w:val="16"/>
              </w:rPr>
              <w:t>,* Authors contributed eq</w:t>
            </w:r>
            <w:r w:rsidR="006E4979">
              <w:rPr>
                <w:i/>
                <w:iCs/>
                <w:sz w:val="16"/>
                <w:szCs w:val="16"/>
              </w:rPr>
              <w:t>ually</w:t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  <w:r w:rsidR="001564A4" w:rsidRPr="00545267">
              <w:rPr>
                <w:sz w:val="20"/>
                <w:szCs w:val="20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13A6F"/>
    <w:rsid w:val="000227B7"/>
    <w:rsid w:val="000357FA"/>
    <w:rsid w:val="00035BE9"/>
    <w:rsid w:val="00077109"/>
    <w:rsid w:val="00081857"/>
    <w:rsid w:val="000A61AA"/>
    <w:rsid w:val="000A6CBC"/>
    <w:rsid w:val="000A7BE9"/>
    <w:rsid w:val="000B67C5"/>
    <w:rsid w:val="000D1B2E"/>
    <w:rsid w:val="000E3871"/>
    <w:rsid w:val="000F2DD8"/>
    <w:rsid w:val="000F3417"/>
    <w:rsid w:val="0015015C"/>
    <w:rsid w:val="001564A4"/>
    <w:rsid w:val="001618D6"/>
    <w:rsid w:val="0016381C"/>
    <w:rsid w:val="001F773B"/>
    <w:rsid w:val="00250178"/>
    <w:rsid w:val="00260BEE"/>
    <w:rsid w:val="00261013"/>
    <w:rsid w:val="002725A2"/>
    <w:rsid w:val="0027420B"/>
    <w:rsid w:val="002D5097"/>
    <w:rsid w:val="003046F6"/>
    <w:rsid w:val="00307831"/>
    <w:rsid w:val="0032581D"/>
    <w:rsid w:val="003317DF"/>
    <w:rsid w:val="00353166"/>
    <w:rsid w:val="00367652"/>
    <w:rsid w:val="00383CE3"/>
    <w:rsid w:val="0039667A"/>
    <w:rsid w:val="003B4CC5"/>
    <w:rsid w:val="003B772F"/>
    <w:rsid w:val="003F2DF3"/>
    <w:rsid w:val="00427434"/>
    <w:rsid w:val="00441F2D"/>
    <w:rsid w:val="004452A9"/>
    <w:rsid w:val="00445C29"/>
    <w:rsid w:val="004A5BC8"/>
    <w:rsid w:val="004B4D2D"/>
    <w:rsid w:val="00514081"/>
    <w:rsid w:val="0051574E"/>
    <w:rsid w:val="00525CF4"/>
    <w:rsid w:val="00545267"/>
    <w:rsid w:val="005616A8"/>
    <w:rsid w:val="005907FC"/>
    <w:rsid w:val="00597E63"/>
    <w:rsid w:val="005A33C1"/>
    <w:rsid w:val="00623A18"/>
    <w:rsid w:val="006322E9"/>
    <w:rsid w:val="00637781"/>
    <w:rsid w:val="006437CA"/>
    <w:rsid w:val="00680E7C"/>
    <w:rsid w:val="00683AB0"/>
    <w:rsid w:val="0068428D"/>
    <w:rsid w:val="00694197"/>
    <w:rsid w:val="00697373"/>
    <w:rsid w:val="006C06F9"/>
    <w:rsid w:val="006D7709"/>
    <w:rsid w:val="006E206E"/>
    <w:rsid w:val="006E4979"/>
    <w:rsid w:val="0073151B"/>
    <w:rsid w:val="00733BBC"/>
    <w:rsid w:val="007444F5"/>
    <w:rsid w:val="007A3BC8"/>
    <w:rsid w:val="007B1058"/>
    <w:rsid w:val="007C7561"/>
    <w:rsid w:val="007D1E20"/>
    <w:rsid w:val="007E7710"/>
    <w:rsid w:val="007F3CFB"/>
    <w:rsid w:val="00803CC2"/>
    <w:rsid w:val="00811125"/>
    <w:rsid w:val="00841B11"/>
    <w:rsid w:val="00862836"/>
    <w:rsid w:val="0087346D"/>
    <w:rsid w:val="008803FA"/>
    <w:rsid w:val="008B6C23"/>
    <w:rsid w:val="008F1BA1"/>
    <w:rsid w:val="00941F13"/>
    <w:rsid w:val="00971DE4"/>
    <w:rsid w:val="00A10A56"/>
    <w:rsid w:val="00A622A0"/>
    <w:rsid w:val="00A91CC5"/>
    <w:rsid w:val="00AA48D5"/>
    <w:rsid w:val="00AB274D"/>
    <w:rsid w:val="00AD0B7F"/>
    <w:rsid w:val="00AE161D"/>
    <w:rsid w:val="00AF0DFC"/>
    <w:rsid w:val="00B12E32"/>
    <w:rsid w:val="00B32F0E"/>
    <w:rsid w:val="00B7082D"/>
    <w:rsid w:val="00B72F0D"/>
    <w:rsid w:val="00BB417D"/>
    <w:rsid w:val="00BE2A84"/>
    <w:rsid w:val="00BE65DA"/>
    <w:rsid w:val="00C26314"/>
    <w:rsid w:val="00C46E9B"/>
    <w:rsid w:val="00C77E12"/>
    <w:rsid w:val="00CA6628"/>
    <w:rsid w:val="00D16649"/>
    <w:rsid w:val="00D70BAF"/>
    <w:rsid w:val="00D81292"/>
    <w:rsid w:val="00DA25B8"/>
    <w:rsid w:val="00DF1921"/>
    <w:rsid w:val="00DF37A3"/>
    <w:rsid w:val="00E0700F"/>
    <w:rsid w:val="00E14CB9"/>
    <w:rsid w:val="00E27B7F"/>
    <w:rsid w:val="00E536D0"/>
    <w:rsid w:val="00E65195"/>
    <w:rsid w:val="00E65C14"/>
    <w:rsid w:val="00E71EBD"/>
    <w:rsid w:val="00EE353F"/>
    <w:rsid w:val="00F35DD2"/>
    <w:rsid w:val="00FE62DE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E16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46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46D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1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09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82A8C-7696-884D-B962-389F40B1C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Timothy Baird</cp:lastModifiedBy>
  <cp:revision>6</cp:revision>
  <dcterms:created xsi:type="dcterms:W3CDTF">2023-10-11T03:07:00Z</dcterms:created>
  <dcterms:modified xsi:type="dcterms:W3CDTF">2023-10-16T23:25:00Z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