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265807" w:rsidRPr="0050053A" w14:paraId="5A29B947" w14:textId="77777777" w:rsidTr="007B4F48">
        <w:trPr>
          <w:trHeight w:val="559"/>
          <w:jc w:val="center"/>
        </w:trPr>
        <w:tc>
          <w:tcPr>
            <w:tcW w:w="9498" w:type="dxa"/>
            <w:shd w:val="clear" w:color="auto" w:fill="auto"/>
          </w:tcPr>
          <w:p w14:paraId="27AAAFDF" w14:textId="77777777" w:rsidR="00265807" w:rsidRPr="00E34A12" w:rsidRDefault="00265807" w:rsidP="002D7678">
            <w:pPr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</w:pPr>
            <w:r w:rsidRPr="00FC11F3">
              <w:rPr>
                <w:rFonts w:ascii="Arial" w:hAnsi="Arial" w:cs="Arial"/>
                <w:b/>
                <w:bCs/>
                <w:sz w:val="22"/>
                <w:szCs w:val="22"/>
                <w:lang w:val="en"/>
              </w:rPr>
              <w:t>Assessment of outcomes using phase-resolved functional lung (PREFUL) MRI in a child with Primary Ciliary Dyskinesia</w:t>
            </w:r>
          </w:p>
        </w:tc>
      </w:tr>
      <w:tr w:rsidR="00265807" w:rsidRPr="0050053A" w14:paraId="127835A7" w14:textId="77777777" w:rsidTr="007B4F48">
        <w:trPr>
          <w:trHeight w:val="568"/>
          <w:jc w:val="center"/>
        </w:trPr>
        <w:tc>
          <w:tcPr>
            <w:tcW w:w="9498" w:type="dxa"/>
            <w:shd w:val="clear" w:color="auto" w:fill="auto"/>
          </w:tcPr>
          <w:p w14:paraId="0DB5CCA3" w14:textId="77777777" w:rsidR="00265807" w:rsidRPr="00327D27" w:rsidRDefault="00265807" w:rsidP="002D7678">
            <w:pPr>
              <w:rPr>
                <w:rFonts w:ascii="Arial" w:hAnsi="Arial" w:cs="Arial"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Frohlich </w:t>
            </w:r>
            <w:r w:rsidRPr="00E34A12">
              <w:rPr>
                <w:rFonts w:ascii="Arial" w:hAnsi="Arial" w:cs="Arial"/>
                <w:sz w:val="22"/>
                <w:szCs w:val="22"/>
                <w:lang w:val="en-US" w:eastAsia="en-GB"/>
              </w:rPr>
              <w:t>M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Hillenbrand CM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Prentice B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Fawcett L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1,2,6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Purcell M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Burke S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Grimm R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Voskrebenzev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A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Vogel-Claussen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J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Waters S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1,2,6,7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Owens L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Morgan L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8,9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Jaffe A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</w:p>
        </w:tc>
      </w:tr>
      <w:tr w:rsidR="00265807" w:rsidRPr="0050053A" w14:paraId="5A3EFF1F" w14:textId="77777777" w:rsidTr="007B4F48">
        <w:trPr>
          <w:trHeight w:val="1823"/>
          <w:jc w:val="center"/>
        </w:trPr>
        <w:tc>
          <w:tcPr>
            <w:tcW w:w="9498" w:type="dxa"/>
            <w:shd w:val="clear" w:color="auto" w:fill="auto"/>
          </w:tcPr>
          <w:p w14:paraId="28AEF022" w14:textId="77777777" w:rsidR="00265807" w:rsidRPr="00DD16BE" w:rsidRDefault="00265807" w:rsidP="002D7678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DD16BE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DD16B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Discipline of Paediatrics and Child Health, School of Clinical Medicine, Faculty of Medicine and Health, UNSW Sydney, NSW, Australia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.</w:t>
            </w:r>
            <w:r w:rsidRPr="00DD16B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Pr="00DD16BE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DD16B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Medicine, Sydney Children’s Hospital, NSW, Australia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. </w:t>
            </w:r>
            <w:r w:rsidRPr="00DD16BE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DD16B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Research Imaging NSW, Division of Research &amp; Enterprise, UNSW Sydney, NSW, Australi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a.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Siemens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Healthineers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Erlangen, Germany. 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Institute of Diagnostic and Interventional Radiology, Hannover Medical School, Hannover, Germany.</w:t>
            </w:r>
            <w:r w:rsidRPr="009E1D93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Molecular and Integrative Cystic Fibrosis Research Centre (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miCF_RC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), UNSW Sydney, NSW, Australia. 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7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Biomedical Sciences, Faculty of Medicine and Health, UNSW Sydney, NSW, Australia.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8</w:t>
            </w:r>
            <w:r w:rsidRPr="00DD16B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Medicine, Concord Hospital, Sydney, NSW, Australia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. 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9</w:t>
            </w:r>
            <w:r w:rsidRPr="00DD16B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Faculty of Medicine, University of Sydney, NSW, Australia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. </w:t>
            </w:r>
          </w:p>
        </w:tc>
      </w:tr>
      <w:tr w:rsidR="00265807" w:rsidRPr="0050053A" w14:paraId="15DD6F68" w14:textId="77777777" w:rsidTr="00265807">
        <w:trPr>
          <w:trHeight w:hRule="exact" w:val="11776"/>
          <w:jc w:val="center"/>
        </w:trPr>
        <w:tc>
          <w:tcPr>
            <w:tcW w:w="9498" w:type="dxa"/>
            <w:shd w:val="clear" w:color="auto" w:fill="auto"/>
          </w:tcPr>
          <w:p w14:paraId="3DCE3FFF" w14:textId="77777777" w:rsidR="00265807" w:rsidRPr="005B278C" w:rsidRDefault="00265807" w:rsidP="002D7678">
            <w:pPr>
              <w:pStyle w:val="Pa12"/>
              <w:spacing w:line="240" w:lineRule="auto"/>
              <w:rPr>
                <w:sz w:val="22"/>
                <w:szCs w:val="22"/>
              </w:rPr>
            </w:pPr>
            <w:r w:rsidRPr="00DD16BE">
              <w:rPr>
                <w:rStyle w:val="A4"/>
                <w:b/>
                <w:bCs/>
              </w:rPr>
              <w:t xml:space="preserve">Introduction: </w:t>
            </w:r>
            <w:r w:rsidRPr="000D1C15">
              <w:rPr>
                <w:rStyle w:val="A4"/>
              </w:rPr>
              <w:t>Primary Ciliary Dyskinesia</w:t>
            </w:r>
            <w:r>
              <w:rPr>
                <w:rStyle w:val="A4"/>
              </w:rPr>
              <w:t xml:space="preserve"> (PCD)</w:t>
            </w:r>
            <w:r w:rsidRPr="000D1C15">
              <w:rPr>
                <w:rStyle w:val="A4"/>
              </w:rPr>
              <w:t xml:space="preserve"> is a rare lung disease characterised by defects in ciliary function leading to peripheral airway dysfunction.</w:t>
            </w:r>
            <w:r>
              <w:rPr>
                <w:rStyle w:val="A4"/>
                <w:b/>
                <w:bCs/>
              </w:rPr>
              <w:t xml:space="preserve"> </w:t>
            </w:r>
            <w:r w:rsidRPr="00795FC4">
              <w:rPr>
                <w:sz w:val="22"/>
                <w:szCs w:val="22"/>
              </w:rPr>
              <w:t>Spirometry</w:t>
            </w:r>
            <w:r>
              <w:rPr>
                <w:sz w:val="22"/>
                <w:szCs w:val="22"/>
              </w:rPr>
              <w:t xml:space="preserve"> and lung clearance index (LCI) are</w:t>
            </w:r>
            <w:r w:rsidRPr="00795F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available techniques to</w:t>
            </w:r>
            <w:r w:rsidRPr="00795FC4">
              <w:rPr>
                <w:sz w:val="22"/>
                <w:szCs w:val="22"/>
              </w:rPr>
              <w:t xml:space="preserve"> measure lung ventilation </w:t>
            </w:r>
            <w:r>
              <w:rPr>
                <w:sz w:val="22"/>
                <w:szCs w:val="22"/>
              </w:rPr>
              <w:t>but these</w:t>
            </w:r>
            <w:r w:rsidRPr="00795FC4">
              <w:rPr>
                <w:sz w:val="22"/>
                <w:szCs w:val="22"/>
              </w:rPr>
              <w:t xml:space="preserve"> techniques estimate whole lung ventilation </w:t>
            </w:r>
            <w:r>
              <w:rPr>
                <w:sz w:val="22"/>
                <w:szCs w:val="22"/>
              </w:rPr>
              <w:t>and</w:t>
            </w:r>
            <w:r w:rsidRPr="00795FC4">
              <w:rPr>
                <w:sz w:val="22"/>
                <w:szCs w:val="22"/>
              </w:rPr>
              <w:t xml:space="preserve"> do not provide regional information. CT chest is used to monitor the progress of regional </w:t>
            </w:r>
            <w:r>
              <w:rPr>
                <w:sz w:val="22"/>
                <w:szCs w:val="22"/>
              </w:rPr>
              <w:t xml:space="preserve">structural </w:t>
            </w:r>
            <w:r w:rsidRPr="00795FC4">
              <w:rPr>
                <w:sz w:val="22"/>
                <w:szCs w:val="22"/>
              </w:rPr>
              <w:t xml:space="preserve">disease however </w:t>
            </w:r>
            <w:r>
              <w:rPr>
                <w:sz w:val="22"/>
                <w:szCs w:val="22"/>
              </w:rPr>
              <w:t xml:space="preserve">does not </w:t>
            </w:r>
            <w:r w:rsidRPr="00795FC4">
              <w:rPr>
                <w:sz w:val="22"/>
                <w:szCs w:val="22"/>
              </w:rPr>
              <w:t>provide ventilation information</w:t>
            </w:r>
            <w:r>
              <w:rPr>
                <w:sz w:val="22"/>
                <w:szCs w:val="22"/>
              </w:rPr>
              <w:t xml:space="preserve"> and involves radiation exposure</w:t>
            </w:r>
            <w:r w:rsidRPr="00795FC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P</w:t>
            </w:r>
            <w:r w:rsidRPr="00795FC4">
              <w:rPr>
                <w:sz w:val="22"/>
                <w:szCs w:val="22"/>
              </w:rPr>
              <w:t xml:space="preserve">hase-resolved functional lung (PREFUL) MRI is a radiation free imaging technique that </w:t>
            </w:r>
            <w:r>
              <w:rPr>
                <w:sz w:val="22"/>
                <w:szCs w:val="22"/>
              </w:rPr>
              <w:t>offers assessment of</w:t>
            </w:r>
            <w:r w:rsidRPr="00795F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both lung morphology and </w:t>
            </w:r>
            <w:r w:rsidRPr="00795FC4">
              <w:rPr>
                <w:sz w:val="22"/>
                <w:szCs w:val="22"/>
              </w:rPr>
              <w:t>regional lung ventilation during free breathing</w:t>
            </w:r>
            <w:r>
              <w:rPr>
                <w:sz w:val="22"/>
                <w:szCs w:val="22"/>
              </w:rPr>
              <w:t xml:space="preserve">. In this case report we describe the novel application of PREFUL MRI in assessment of treatment outcomes pre and post lung bilobectomy in a person with PCD. </w:t>
            </w:r>
          </w:p>
          <w:p w14:paraId="2C79FD85" w14:textId="77777777" w:rsidR="00265807" w:rsidRPr="00795FC4" w:rsidRDefault="00265807" w:rsidP="002D7678">
            <w:pPr>
              <w:pStyle w:val="Pa12"/>
              <w:spacing w:line="240" w:lineRule="auto"/>
              <w:rPr>
                <w:sz w:val="22"/>
                <w:szCs w:val="22"/>
              </w:rPr>
            </w:pPr>
          </w:p>
          <w:p w14:paraId="5EFF8FA9" w14:textId="77777777" w:rsidR="00265807" w:rsidRDefault="00265807" w:rsidP="00CC757A">
            <w:pPr>
              <w:pStyle w:val="Pa12"/>
              <w:spacing w:line="240" w:lineRule="auto"/>
              <w:rPr>
                <w:sz w:val="22"/>
                <w:szCs w:val="22"/>
              </w:rPr>
            </w:pPr>
            <w:r w:rsidRPr="007B4F48">
              <w:rPr>
                <w:b/>
                <w:bCs/>
                <w:sz w:val="22"/>
                <w:szCs w:val="22"/>
              </w:rPr>
              <w:t>Methods:</w:t>
            </w:r>
            <w:r>
              <w:rPr>
                <w:sz w:val="22"/>
                <w:szCs w:val="22"/>
              </w:rPr>
              <w:t xml:space="preserve"> A</w:t>
            </w:r>
            <w:r w:rsidRPr="00795FC4">
              <w:rPr>
                <w:sz w:val="22"/>
                <w:szCs w:val="22"/>
              </w:rPr>
              <w:t xml:space="preserve"> 13 year old boy with Kartagener</w:t>
            </w:r>
            <w:r>
              <w:rPr>
                <w:sz w:val="22"/>
                <w:szCs w:val="22"/>
              </w:rPr>
              <w:t xml:space="preserve"> s</w:t>
            </w:r>
            <w:r w:rsidRPr="00795FC4">
              <w:rPr>
                <w:sz w:val="22"/>
                <w:szCs w:val="22"/>
              </w:rPr>
              <w:t>yndrome had progressive severe cystic bronchiectasis of the</w:t>
            </w:r>
            <w:r>
              <w:rPr>
                <w:sz w:val="22"/>
                <w:szCs w:val="22"/>
              </w:rPr>
              <w:t xml:space="preserve"> </w:t>
            </w:r>
            <w:r w:rsidRPr="00795FC4">
              <w:rPr>
                <w:sz w:val="22"/>
                <w:szCs w:val="22"/>
              </w:rPr>
              <w:t xml:space="preserve">left middle and lower lobes </w:t>
            </w:r>
            <w:r>
              <w:rPr>
                <w:sz w:val="22"/>
                <w:szCs w:val="22"/>
              </w:rPr>
              <w:t xml:space="preserve">(in the context of situs inversus </w:t>
            </w:r>
            <w:proofErr w:type="spellStart"/>
            <w:r>
              <w:rPr>
                <w:sz w:val="22"/>
                <w:szCs w:val="22"/>
              </w:rPr>
              <w:t>totalis</w:t>
            </w:r>
            <w:proofErr w:type="spellEnd"/>
            <w:r>
              <w:rPr>
                <w:sz w:val="22"/>
                <w:szCs w:val="22"/>
              </w:rPr>
              <w:t xml:space="preserve"> and a trilobed left lung) </w:t>
            </w:r>
            <w:r w:rsidRPr="00795FC4">
              <w:rPr>
                <w:sz w:val="22"/>
                <w:szCs w:val="22"/>
              </w:rPr>
              <w:t>on CT scans</w:t>
            </w:r>
            <w:r>
              <w:rPr>
                <w:sz w:val="22"/>
                <w:szCs w:val="22"/>
              </w:rPr>
              <w:t xml:space="preserve"> and was</w:t>
            </w:r>
            <w:r w:rsidRPr="00795F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infected</w:t>
            </w:r>
            <w:r w:rsidRPr="00795F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with</w:t>
            </w:r>
            <w:r w:rsidRPr="00795FC4">
              <w:rPr>
                <w:sz w:val="22"/>
                <w:szCs w:val="22"/>
              </w:rPr>
              <w:t xml:space="preserve"> </w:t>
            </w:r>
            <w:proofErr w:type="spellStart"/>
            <w:r w:rsidRPr="00795FC4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.</w:t>
            </w:r>
            <w:r w:rsidRPr="00795FC4">
              <w:rPr>
                <w:sz w:val="22"/>
                <w:szCs w:val="22"/>
              </w:rPr>
              <w:t>aeruginosa</w:t>
            </w:r>
            <w:proofErr w:type="spellEnd"/>
            <w:r w:rsidRPr="00795FC4">
              <w:rPr>
                <w:sz w:val="22"/>
                <w:szCs w:val="22"/>
              </w:rPr>
              <w:t xml:space="preserve"> and </w:t>
            </w:r>
            <w:proofErr w:type="spellStart"/>
            <w:r w:rsidRPr="00795FC4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.</w:t>
            </w:r>
            <w:r w:rsidRPr="00795FC4">
              <w:rPr>
                <w:sz w:val="22"/>
                <w:szCs w:val="22"/>
              </w:rPr>
              <w:t>avium</w:t>
            </w:r>
            <w:proofErr w:type="spellEnd"/>
            <w:r w:rsidRPr="00795FC4">
              <w:rPr>
                <w:sz w:val="22"/>
                <w:szCs w:val="22"/>
              </w:rPr>
              <w:t xml:space="preserve"> complex. </w:t>
            </w:r>
            <w:r>
              <w:rPr>
                <w:sz w:val="22"/>
                <w:szCs w:val="22"/>
              </w:rPr>
              <w:t>T</w:t>
            </w:r>
            <w:r w:rsidRPr="00795FC4">
              <w:rPr>
                <w:sz w:val="22"/>
                <w:szCs w:val="22"/>
              </w:rPr>
              <w:t>he decision was made to proceed to</w:t>
            </w:r>
            <w:r>
              <w:rPr>
                <w:sz w:val="22"/>
                <w:szCs w:val="22"/>
              </w:rPr>
              <w:t xml:space="preserve"> left middle and lower</w:t>
            </w:r>
            <w:r w:rsidRPr="00795FC4">
              <w:rPr>
                <w:sz w:val="22"/>
                <w:szCs w:val="22"/>
              </w:rPr>
              <w:t xml:space="preserve"> bilobectomy to prevent further </w:t>
            </w:r>
            <w:r>
              <w:rPr>
                <w:sz w:val="22"/>
                <w:szCs w:val="22"/>
              </w:rPr>
              <w:t xml:space="preserve">destruction of less </w:t>
            </w:r>
            <w:r w:rsidRPr="00795FC4">
              <w:rPr>
                <w:sz w:val="22"/>
                <w:szCs w:val="22"/>
              </w:rPr>
              <w:t xml:space="preserve">diseased lung. Spirometry, LCI and PREFUL MRI were performed 1 week </w:t>
            </w:r>
            <w:r>
              <w:rPr>
                <w:sz w:val="22"/>
                <w:szCs w:val="22"/>
              </w:rPr>
              <w:t xml:space="preserve">prior </w:t>
            </w:r>
            <w:r w:rsidRPr="00795FC4">
              <w:rPr>
                <w:sz w:val="22"/>
                <w:szCs w:val="22"/>
              </w:rPr>
              <w:t>and 16 weeks after bilobectomy</w:t>
            </w:r>
            <w:r>
              <w:rPr>
                <w:sz w:val="22"/>
                <w:szCs w:val="22"/>
              </w:rPr>
              <w:t>.</w:t>
            </w:r>
          </w:p>
          <w:p w14:paraId="0D373704" w14:textId="77777777" w:rsidR="00265807" w:rsidRPr="005B278C" w:rsidRDefault="00265807" w:rsidP="005B278C">
            <w:pPr>
              <w:pStyle w:val="Default"/>
            </w:pPr>
          </w:p>
          <w:p w14:paraId="1A464828" w14:textId="77777777" w:rsidR="00265807" w:rsidRPr="005B278C" w:rsidRDefault="00265807" w:rsidP="002D7678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>
              <w:rPr>
                <w:sz w:val="22"/>
                <w:szCs w:val="22"/>
              </w:rPr>
              <w:t>MRI examinations were performed on a 3T Siemens scanner during free breathing with no contrast agent administered. PREFUL processing</w:t>
            </w:r>
            <w:r w:rsidRPr="007B4F48">
              <w:rPr>
                <w:noProof/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was used to derive regional pulmonary ventilation and perfusion distribution from proton MRI data. </w:t>
            </w:r>
          </w:p>
          <w:p w14:paraId="154AE6BF" w14:textId="77777777" w:rsidR="00265807" w:rsidRDefault="00265807" w:rsidP="002D7678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</w:p>
          <w:p w14:paraId="7582FA69" w14:textId="77777777" w:rsidR="00265807" w:rsidRPr="005B278C" w:rsidRDefault="00265807" w:rsidP="002D7678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927EEE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428EB0E7" wp14:editId="772562A9">
                  <wp:simplePos x="0" y="0"/>
                  <wp:positionH relativeFrom="column">
                    <wp:posOffset>2318913</wp:posOffset>
                  </wp:positionH>
                  <wp:positionV relativeFrom="paragraph">
                    <wp:posOffset>60142</wp:posOffset>
                  </wp:positionV>
                  <wp:extent cx="3280410" cy="2108835"/>
                  <wp:effectExtent l="0" t="0" r="0" b="0"/>
                  <wp:wrapTight wrapText="bothSides">
                    <wp:wrapPolygon edited="0">
                      <wp:start x="0" y="0"/>
                      <wp:lineTo x="0" y="21463"/>
                      <wp:lineTo x="21491" y="21463"/>
                      <wp:lineTo x="21491" y="0"/>
                      <wp:lineTo x="0" y="0"/>
                    </wp:wrapPolygon>
                  </wp:wrapTight>
                  <wp:docPr id="8412698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269878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0410" cy="2108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5FC4">
              <w:rPr>
                <w:rStyle w:val="A4"/>
                <w:b/>
                <w:bCs/>
              </w:rPr>
              <w:t xml:space="preserve">Results: </w:t>
            </w:r>
            <w:r w:rsidRPr="00532E44">
              <w:rPr>
                <w:rStyle w:val="A4"/>
              </w:rPr>
              <w:t>Following surgery,</w:t>
            </w:r>
            <w:r>
              <w:rPr>
                <w:rStyle w:val="A4"/>
                <w:b/>
                <w:bCs/>
              </w:rPr>
              <w:t xml:space="preserve"> </w:t>
            </w:r>
            <w:r w:rsidRPr="00795FC4">
              <w:rPr>
                <w:sz w:val="22"/>
                <w:szCs w:val="22"/>
              </w:rPr>
              <w:t xml:space="preserve">LCI </w:t>
            </w:r>
            <w:r>
              <w:rPr>
                <w:sz w:val="22"/>
                <w:szCs w:val="22"/>
              </w:rPr>
              <w:t xml:space="preserve">improved from 10.09 to </w:t>
            </w:r>
            <w:r w:rsidRPr="00795FC4">
              <w:rPr>
                <w:sz w:val="22"/>
                <w:szCs w:val="22"/>
              </w:rPr>
              <w:t xml:space="preserve">9.32. </w:t>
            </w:r>
            <w:r>
              <w:rPr>
                <w:sz w:val="22"/>
                <w:szCs w:val="22"/>
              </w:rPr>
              <w:t xml:space="preserve">There was no change in spirometry parameters (FEV1 z-score -2.65 vs -2.34, FVC z-score -2.24 vs -2.37, FEV1/FVC z-score -1.18 vs -0.25). Pre-operative MRI confirmed bronchiectasis of the left middle and lower lobes. </w:t>
            </w:r>
            <w:r w:rsidRPr="00795FC4">
              <w:rPr>
                <w:sz w:val="22"/>
                <w:szCs w:val="22"/>
              </w:rPr>
              <w:t xml:space="preserve">PREFUL MRI </w:t>
            </w:r>
            <w:r>
              <w:rPr>
                <w:sz w:val="22"/>
                <w:szCs w:val="22"/>
              </w:rPr>
              <w:t xml:space="preserve">demonstrated an improvement in mean ventilation from 3.5% pre surgery to 22.7% and </w:t>
            </w:r>
            <w:r w:rsidRPr="00795FC4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reduction</w:t>
            </w:r>
            <w:r w:rsidRPr="00795FC4">
              <w:rPr>
                <w:sz w:val="22"/>
                <w:szCs w:val="22"/>
              </w:rPr>
              <w:t xml:space="preserve"> in</w:t>
            </w:r>
            <w:r>
              <w:rPr>
                <w:sz w:val="22"/>
                <w:szCs w:val="22"/>
              </w:rPr>
              <w:t xml:space="preserve"> v</w:t>
            </w:r>
            <w:r w:rsidRPr="00795FC4">
              <w:rPr>
                <w:sz w:val="22"/>
                <w:szCs w:val="22"/>
              </w:rPr>
              <w:t>entilation/perfusion (V/Q) defect from 38.7%</w:t>
            </w:r>
            <w:r>
              <w:rPr>
                <w:sz w:val="22"/>
                <w:szCs w:val="22"/>
              </w:rPr>
              <w:t xml:space="preserve"> to 23.9% </w:t>
            </w:r>
            <w:r w:rsidRPr="00795FC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figure 1</w:t>
            </w:r>
            <w:r w:rsidRPr="00795FC4">
              <w:rPr>
                <w:sz w:val="22"/>
                <w:szCs w:val="22"/>
              </w:rPr>
              <w:t>).</w:t>
            </w:r>
            <w:r>
              <w:rPr>
                <w:sz w:val="22"/>
                <w:szCs w:val="22"/>
              </w:rPr>
              <w:t xml:space="preserve"> </w:t>
            </w:r>
          </w:p>
          <w:p w14:paraId="3CCD83DB" w14:textId="77777777" w:rsidR="00265807" w:rsidRDefault="00265807" w:rsidP="002D7678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</w:p>
          <w:p w14:paraId="3348502F" w14:textId="77777777" w:rsidR="00265807" w:rsidRPr="007B4F48" w:rsidRDefault="00265807" w:rsidP="00A67413">
            <w:pPr>
              <w:pStyle w:val="Pa12"/>
              <w:spacing w:line="240" w:lineRule="auto"/>
              <w:rPr>
                <w:sz w:val="22"/>
                <w:szCs w:val="22"/>
              </w:rPr>
            </w:pPr>
            <w:r w:rsidRPr="00795FC4">
              <w:rPr>
                <w:rStyle w:val="A4"/>
                <w:b/>
                <w:bCs/>
              </w:rPr>
              <w:t xml:space="preserve">Conclusion: </w:t>
            </w:r>
            <w:r w:rsidRPr="007B4F48">
              <w:rPr>
                <w:sz w:val="22"/>
                <w:szCs w:val="22"/>
              </w:rPr>
              <w:t xml:space="preserve">PREFUL MRI is a novel radiation free imaging technique which </w:t>
            </w:r>
            <w:r>
              <w:rPr>
                <w:sz w:val="22"/>
                <w:szCs w:val="22"/>
              </w:rPr>
              <w:t>allows</w:t>
            </w:r>
            <w:r w:rsidRPr="007B4F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lung morphology and </w:t>
            </w:r>
            <w:r w:rsidRPr="007B4F48">
              <w:rPr>
                <w:sz w:val="22"/>
                <w:szCs w:val="22"/>
              </w:rPr>
              <w:t>regional ventilation assessment</w:t>
            </w:r>
            <w:r>
              <w:rPr>
                <w:sz w:val="22"/>
                <w:szCs w:val="22"/>
              </w:rPr>
              <w:t>,</w:t>
            </w:r>
            <w:r w:rsidRPr="007B4F48">
              <w:rPr>
                <w:sz w:val="22"/>
                <w:szCs w:val="22"/>
              </w:rPr>
              <w:t xml:space="preserve"> with utility in monitoring treatment outcomes</w:t>
            </w:r>
            <w:r>
              <w:rPr>
                <w:sz w:val="22"/>
                <w:szCs w:val="22"/>
              </w:rPr>
              <w:t xml:space="preserve">. </w:t>
            </w:r>
          </w:p>
          <w:p w14:paraId="7838FCED" w14:textId="77777777" w:rsidR="00265807" w:rsidRPr="00DD16BE" w:rsidRDefault="00265807" w:rsidP="002D7678">
            <w:pPr>
              <w:pStyle w:val="Pa12"/>
              <w:spacing w:line="240" w:lineRule="auto"/>
              <w:rPr>
                <w:rStyle w:val="A4"/>
                <w:bCs/>
              </w:rPr>
            </w:pPr>
          </w:p>
          <w:p w14:paraId="3D4C18D8" w14:textId="77777777" w:rsidR="00265807" w:rsidRPr="00DD16BE" w:rsidRDefault="00265807" w:rsidP="002D7678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DD16BE">
              <w:rPr>
                <w:rStyle w:val="A4"/>
                <w:b/>
                <w:bCs/>
              </w:rPr>
              <w:t>Grant Support:</w:t>
            </w:r>
            <w:r>
              <w:rPr>
                <w:rStyle w:val="A4"/>
              </w:rPr>
              <w:t xml:space="preserve"> This pilot project was supported by Research Imaging NSW</w:t>
            </w:r>
          </w:p>
          <w:p w14:paraId="2B61DCFA" w14:textId="77777777" w:rsidR="00265807" w:rsidRDefault="00265807" w:rsidP="002D7678">
            <w:pPr>
              <w:pStyle w:val="Pa12"/>
              <w:spacing w:line="240" w:lineRule="auto"/>
              <w:rPr>
                <w:sz w:val="22"/>
                <w:szCs w:val="22"/>
              </w:rPr>
            </w:pPr>
          </w:p>
          <w:p w14:paraId="646739BC" w14:textId="77777777" w:rsidR="00265807" w:rsidRPr="007B4F48" w:rsidRDefault="00265807" w:rsidP="002D7678">
            <w:pPr>
              <w:pStyle w:val="Pa12"/>
              <w:spacing w:line="240" w:lineRule="auto"/>
              <w:rPr>
                <w:b/>
                <w:bCs/>
                <w:sz w:val="22"/>
                <w:szCs w:val="22"/>
              </w:rPr>
            </w:pPr>
            <w:r w:rsidRPr="007B4F48">
              <w:rPr>
                <w:b/>
                <w:bCs/>
                <w:sz w:val="22"/>
                <w:szCs w:val="22"/>
              </w:rPr>
              <w:t>References:</w:t>
            </w:r>
          </w:p>
          <w:p w14:paraId="2508D0D5" w14:textId="4549FCBB" w:rsidR="00265807" w:rsidRPr="00265807" w:rsidRDefault="00265807" w:rsidP="00265807">
            <w:pPr>
              <w:pStyle w:val="EndNoteBibliography"/>
              <w:ind w:left="312" w:hanging="312"/>
              <w:rPr>
                <w:rFonts w:ascii="Arial" w:hAnsi="Arial" w:cs="Arial"/>
                <w:noProof/>
                <w:sz w:val="22"/>
                <w:szCs w:val="22"/>
              </w:rPr>
            </w:pPr>
            <w:r w:rsidRPr="007B4F48">
              <w:rPr>
                <w:rFonts w:ascii="Arial" w:hAnsi="Arial" w:cs="Arial"/>
                <w:noProof/>
                <w:sz w:val="22"/>
                <w:szCs w:val="22"/>
              </w:rPr>
              <w:t>1.</w:t>
            </w:r>
            <w:r w:rsidRPr="007B4F48">
              <w:rPr>
                <w:rFonts w:ascii="Arial" w:hAnsi="Arial" w:cs="Arial"/>
                <w:noProof/>
                <w:sz w:val="22"/>
                <w:szCs w:val="22"/>
              </w:rPr>
              <w:tab/>
              <w:t xml:space="preserve">Voskrebenzev A, Gutberlet M, Klimes F, et al. Feasibility of quantitative regional ventilation and perfusion mapping with phase-resolved functional lung (PREFUL) MRI in healthy volunteers and COPD, CTEPH, and CF patients. </w:t>
            </w:r>
            <w:r w:rsidRPr="007B4F48">
              <w:rPr>
                <w:rFonts w:ascii="Arial" w:hAnsi="Arial" w:cs="Arial"/>
                <w:i/>
                <w:noProof/>
                <w:sz w:val="22"/>
                <w:szCs w:val="22"/>
              </w:rPr>
              <w:t xml:space="preserve">Magn Reson Med. </w:t>
            </w:r>
            <w:r w:rsidRPr="007B4F48">
              <w:rPr>
                <w:rFonts w:ascii="Arial" w:hAnsi="Arial" w:cs="Arial"/>
                <w:noProof/>
                <w:sz w:val="22"/>
                <w:szCs w:val="22"/>
              </w:rPr>
              <w:t>2018;79(4):2306-2314.</w:t>
            </w:r>
            <w:r w:rsidRPr="00DD16BE">
              <w:rPr>
                <w:sz w:val="22"/>
                <w:szCs w:val="22"/>
              </w:rPr>
              <w:br/>
            </w:r>
            <w:r w:rsidRPr="00DD16BE">
              <w:rPr>
                <w:sz w:val="22"/>
                <w:szCs w:val="22"/>
              </w:rPr>
              <w:br/>
            </w:r>
            <w:r w:rsidRPr="00DD16BE">
              <w:rPr>
                <w:sz w:val="22"/>
                <w:szCs w:val="22"/>
              </w:rPr>
              <w:br/>
            </w:r>
            <w:r w:rsidRPr="00DD16BE">
              <w:rPr>
                <w:sz w:val="22"/>
                <w:szCs w:val="22"/>
              </w:rPr>
              <w:br/>
            </w:r>
            <w:r w:rsidRPr="00DD16BE">
              <w:rPr>
                <w:sz w:val="22"/>
                <w:szCs w:val="22"/>
              </w:rPr>
              <w:br/>
            </w:r>
            <w:r w:rsidRPr="00DD16BE">
              <w:rPr>
                <w:sz w:val="22"/>
                <w:szCs w:val="22"/>
              </w:rPr>
              <w:br/>
            </w:r>
            <w:r w:rsidRPr="00DD16BE">
              <w:rPr>
                <w:sz w:val="22"/>
                <w:szCs w:val="22"/>
              </w:rPr>
              <w:br/>
            </w:r>
            <w:r w:rsidRPr="00DD16BE">
              <w:rPr>
                <w:sz w:val="22"/>
                <w:szCs w:val="22"/>
              </w:rPr>
              <w:br/>
            </w:r>
            <w:r w:rsidRPr="00DD16BE">
              <w:rPr>
                <w:sz w:val="22"/>
                <w:szCs w:val="22"/>
              </w:rPr>
              <w:br/>
            </w:r>
            <w:r w:rsidRPr="00DD16BE">
              <w:rPr>
                <w:sz w:val="22"/>
                <w:szCs w:val="22"/>
              </w:rPr>
              <w:br/>
            </w:r>
          </w:p>
          <w:p w14:paraId="5E403AFE" w14:textId="77777777" w:rsidR="00265807" w:rsidRPr="00DD16BE" w:rsidRDefault="00265807" w:rsidP="002D7678">
            <w:pPr>
              <w:pStyle w:val="Default"/>
              <w:rPr>
                <w:sz w:val="22"/>
                <w:szCs w:val="22"/>
              </w:rPr>
            </w:pPr>
          </w:p>
          <w:p w14:paraId="61240447" w14:textId="77777777" w:rsidR="00265807" w:rsidRPr="00DD16BE" w:rsidRDefault="00265807" w:rsidP="002D7678">
            <w:pPr>
              <w:pStyle w:val="Default"/>
              <w:rPr>
                <w:sz w:val="22"/>
                <w:szCs w:val="22"/>
              </w:rPr>
            </w:pPr>
          </w:p>
          <w:p w14:paraId="3DC5081C" w14:textId="77777777" w:rsidR="00265807" w:rsidRDefault="00265807" w:rsidP="002D7678">
            <w:pPr>
              <w:pStyle w:val="Pa12"/>
              <w:spacing w:line="240" w:lineRule="auto"/>
              <w:rPr>
                <w:rStyle w:val="A4"/>
                <w:bCs/>
              </w:rPr>
            </w:pPr>
            <w:r w:rsidRPr="00DD16BE">
              <w:rPr>
                <w:rStyle w:val="A4"/>
                <w:bCs/>
              </w:rPr>
              <w:br/>
            </w:r>
            <w:r w:rsidRPr="00DD16BE">
              <w:rPr>
                <w:rStyle w:val="A4"/>
                <w:bCs/>
              </w:rPr>
              <w:br/>
            </w:r>
            <w:r w:rsidRPr="00DD16BE">
              <w:rPr>
                <w:rStyle w:val="A4"/>
                <w:bCs/>
              </w:rPr>
              <w:br/>
            </w:r>
            <w:r w:rsidRPr="00DD16BE">
              <w:rPr>
                <w:rStyle w:val="A4"/>
                <w:bCs/>
              </w:rPr>
              <w:br/>
            </w:r>
            <w:r w:rsidRPr="00DD16BE">
              <w:rPr>
                <w:rStyle w:val="A4"/>
                <w:bCs/>
              </w:rPr>
              <w:br/>
            </w:r>
            <w:r w:rsidRPr="00DD16BE">
              <w:rPr>
                <w:rStyle w:val="A4"/>
                <w:bCs/>
              </w:rPr>
              <w:br/>
            </w:r>
          </w:p>
          <w:p w14:paraId="4AD4FEBA" w14:textId="77777777" w:rsidR="00265807" w:rsidRDefault="00265807" w:rsidP="002D7678">
            <w:pPr>
              <w:pStyle w:val="Pa12"/>
              <w:spacing w:line="240" w:lineRule="auto"/>
              <w:rPr>
                <w:rStyle w:val="A4"/>
                <w:bCs/>
              </w:rPr>
            </w:pPr>
          </w:p>
          <w:p w14:paraId="683CF644" w14:textId="77777777" w:rsidR="00265807" w:rsidRDefault="00265807" w:rsidP="002D7678">
            <w:pPr>
              <w:pStyle w:val="Pa12"/>
              <w:spacing w:line="240" w:lineRule="auto"/>
              <w:rPr>
                <w:rStyle w:val="A4"/>
                <w:bCs/>
              </w:rPr>
            </w:pPr>
          </w:p>
          <w:p w14:paraId="05C08099" w14:textId="77777777" w:rsidR="00265807" w:rsidRPr="00DD16BE" w:rsidRDefault="00265807" w:rsidP="002D7678">
            <w:pPr>
              <w:pStyle w:val="Pa12"/>
              <w:spacing w:line="240" w:lineRule="auto"/>
              <w:rPr>
                <w:rStyle w:val="A4"/>
                <w:bCs/>
              </w:rPr>
            </w:pPr>
            <w:r w:rsidRPr="00DD16BE">
              <w:rPr>
                <w:rStyle w:val="A4"/>
                <w:bCs/>
              </w:rPr>
              <w:br/>
            </w:r>
            <w:r w:rsidRPr="00DD16BE">
              <w:rPr>
                <w:rStyle w:val="A4"/>
                <w:bCs/>
              </w:rPr>
              <w:br/>
            </w:r>
            <w:r w:rsidRPr="00DD16BE">
              <w:rPr>
                <w:rStyle w:val="A4"/>
                <w:bCs/>
              </w:rPr>
              <w:br/>
            </w:r>
            <w:r w:rsidRPr="00DD16BE">
              <w:rPr>
                <w:rStyle w:val="A4"/>
                <w:bCs/>
              </w:rPr>
              <w:br/>
            </w:r>
            <w:r w:rsidRPr="00DD16BE">
              <w:rPr>
                <w:rStyle w:val="A4"/>
                <w:bCs/>
              </w:rPr>
              <w:br/>
            </w:r>
          </w:p>
          <w:p w14:paraId="451224A8" w14:textId="77777777" w:rsidR="00265807" w:rsidRPr="00DD16BE" w:rsidRDefault="00265807" w:rsidP="002D7678">
            <w:pPr>
              <w:pStyle w:val="Default"/>
              <w:rPr>
                <w:rStyle w:val="A4"/>
                <w:bCs/>
              </w:rPr>
            </w:pPr>
          </w:p>
          <w:p w14:paraId="641507E9" w14:textId="77777777" w:rsidR="00265807" w:rsidRPr="00DD16BE" w:rsidRDefault="00265807" w:rsidP="002D7678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  <w:r w:rsidRPr="00DD16BE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6B07A2A0" w14:textId="77777777" w:rsidR="00265807" w:rsidRPr="005B278C" w:rsidRDefault="00265807" w:rsidP="005B278C"/>
    <w:p w14:paraId="1EF6B6A8" w14:textId="77777777" w:rsidR="0082565E" w:rsidRDefault="0082565E"/>
    <w:sectPr w:rsidR="0082565E" w:rsidSect="00265807">
      <w:pgSz w:w="11906" w:h="16838"/>
      <w:pgMar w:top="614" w:right="1440" w:bottom="34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65807"/>
    <w:rsid w:val="00043394"/>
    <w:rsid w:val="00060047"/>
    <w:rsid w:val="00265807"/>
    <w:rsid w:val="00267D1E"/>
    <w:rsid w:val="002C4359"/>
    <w:rsid w:val="00301730"/>
    <w:rsid w:val="003E48E8"/>
    <w:rsid w:val="004147AB"/>
    <w:rsid w:val="0043625D"/>
    <w:rsid w:val="00506743"/>
    <w:rsid w:val="005C74E9"/>
    <w:rsid w:val="006A0A3C"/>
    <w:rsid w:val="006F59A9"/>
    <w:rsid w:val="00714F04"/>
    <w:rsid w:val="007516E0"/>
    <w:rsid w:val="0082565E"/>
    <w:rsid w:val="00892A3E"/>
    <w:rsid w:val="008F1CD2"/>
    <w:rsid w:val="00A10194"/>
    <w:rsid w:val="00A2555E"/>
    <w:rsid w:val="00A94307"/>
    <w:rsid w:val="00B4411D"/>
    <w:rsid w:val="00B55578"/>
    <w:rsid w:val="00B93FC7"/>
    <w:rsid w:val="00C40BD7"/>
    <w:rsid w:val="00C70B33"/>
    <w:rsid w:val="00C73100"/>
    <w:rsid w:val="00D7592A"/>
    <w:rsid w:val="00E24D8A"/>
    <w:rsid w:val="00E34D43"/>
    <w:rsid w:val="00E51C75"/>
    <w:rsid w:val="00E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9E446B"/>
  <w15:chartTrackingRefBased/>
  <w15:docId w15:val="{4202F61A-012B-9C47-B905-B68F4541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807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  <w:rsid w:val="0026580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65807"/>
  </w:style>
  <w:style w:type="paragraph" w:customStyle="1" w:styleId="Default">
    <w:name w:val="Default"/>
    <w:link w:val="DefaultChar"/>
    <w:rsid w:val="00265807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val="en-NZ" w:eastAsia="en-NZ"/>
      <w14:ligatures w14:val="none"/>
    </w:rPr>
  </w:style>
  <w:style w:type="character" w:customStyle="1" w:styleId="A4">
    <w:name w:val="A4"/>
    <w:uiPriority w:val="99"/>
    <w:rsid w:val="00265807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link w:val="Pa12Char"/>
    <w:uiPriority w:val="99"/>
    <w:rsid w:val="00265807"/>
    <w:pPr>
      <w:spacing w:line="241" w:lineRule="atLeast"/>
    </w:pPr>
  </w:style>
  <w:style w:type="character" w:styleId="CommentReference">
    <w:name w:val="annotation reference"/>
    <w:basedOn w:val="DefaultParagraphFont"/>
    <w:uiPriority w:val="99"/>
    <w:semiHidden/>
    <w:unhideWhenUsed/>
    <w:rsid w:val="002658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8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807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807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658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807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58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807"/>
    <w:rPr>
      <w:rFonts w:ascii="Times New Roman" w:eastAsia="Times New Roman" w:hAnsi="Times New Roman" w:cs="Times New Roman"/>
      <w:kern w:val="0"/>
      <w:lang w:val="en-GB"/>
      <w14:ligatures w14:val="none"/>
    </w:rPr>
  </w:style>
  <w:style w:type="table" w:styleId="TableGrid">
    <w:name w:val="Table Grid"/>
    <w:basedOn w:val="TableNormal"/>
    <w:uiPriority w:val="39"/>
    <w:rsid w:val="00265807"/>
    <w:rPr>
      <w:rFonts w:ascii="Atlas Grotesk Regular" w:hAnsi="Atlas Grotesk Regular"/>
      <w:kern w:val="0"/>
      <w:sz w:val="20"/>
      <w:szCs w:val="20"/>
      <w:lang w:val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65807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265807"/>
    <w:pPr>
      <w:jc w:val="center"/>
    </w:pPr>
    <w:rPr>
      <w:color w:val="000000"/>
      <w:lang w:val="en-US" w:eastAsia="en-NZ"/>
    </w:rPr>
  </w:style>
  <w:style w:type="character" w:customStyle="1" w:styleId="DefaultChar">
    <w:name w:val="Default Char"/>
    <w:basedOn w:val="DefaultParagraphFont"/>
    <w:link w:val="Default"/>
    <w:rsid w:val="00265807"/>
    <w:rPr>
      <w:rFonts w:ascii="Arial" w:eastAsia="Times New Roman" w:hAnsi="Arial" w:cs="Arial"/>
      <w:color w:val="000000"/>
      <w:kern w:val="0"/>
      <w:lang w:val="en-NZ" w:eastAsia="en-NZ"/>
      <w14:ligatures w14:val="none"/>
    </w:rPr>
  </w:style>
  <w:style w:type="character" w:customStyle="1" w:styleId="Pa12Char">
    <w:name w:val="Pa12 Char"/>
    <w:basedOn w:val="DefaultChar"/>
    <w:link w:val="Pa12"/>
    <w:uiPriority w:val="99"/>
    <w:rsid w:val="00265807"/>
    <w:rPr>
      <w:rFonts w:ascii="Arial" w:eastAsia="Times New Roman" w:hAnsi="Arial" w:cs="Arial"/>
      <w:color w:val="000000"/>
      <w:kern w:val="0"/>
      <w:lang w:val="en-NZ" w:eastAsia="en-NZ"/>
      <w14:ligatures w14:val="none"/>
    </w:rPr>
  </w:style>
  <w:style w:type="character" w:customStyle="1" w:styleId="EndNoteBibliographyTitleChar">
    <w:name w:val="EndNote Bibliography Title Char"/>
    <w:basedOn w:val="Pa12Char"/>
    <w:link w:val="EndNoteBibliographyTitle"/>
    <w:rsid w:val="00265807"/>
    <w:rPr>
      <w:rFonts w:ascii="Times New Roman" w:eastAsia="Times New Roman" w:hAnsi="Times New Roman" w:cs="Times New Roman"/>
      <w:color w:val="000000"/>
      <w:kern w:val="0"/>
      <w:lang w:val="en-US" w:eastAsia="en-NZ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265807"/>
    <w:rPr>
      <w:color w:val="000000"/>
      <w:lang w:val="en-US" w:eastAsia="en-NZ"/>
    </w:rPr>
  </w:style>
  <w:style w:type="character" w:customStyle="1" w:styleId="EndNoteBibliographyChar">
    <w:name w:val="EndNote Bibliography Char"/>
    <w:basedOn w:val="Pa12Char"/>
    <w:link w:val="EndNoteBibliography"/>
    <w:rsid w:val="00265807"/>
    <w:rPr>
      <w:rFonts w:ascii="Times New Roman" w:eastAsia="Times New Roman" w:hAnsi="Times New Roman" w:cs="Times New Roman"/>
      <w:color w:val="000000"/>
      <w:kern w:val="0"/>
      <w:lang w:val="en-US"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623</Words>
  <Characters>3076</Characters>
  <Application>Microsoft Office Word</Application>
  <DocSecurity>0</DocSecurity>
  <Lines>87</Lines>
  <Paragraphs>54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Frohlich</dc:creator>
  <cp:keywords/>
  <dc:description/>
  <cp:lastModifiedBy>Megan Frohlich</cp:lastModifiedBy>
  <cp:revision>1</cp:revision>
  <dcterms:created xsi:type="dcterms:W3CDTF">2023-10-19T01:47:00Z</dcterms:created>
  <dcterms:modified xsi:type="dcterms:W3CDTF">2023-10-19T01:48:00Z</dcterms:modified>
</cp:coreProperties>
</file>