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C5BEF" w14:textId="77777777" w:rsidR="000500CF" w:rsidRDefault="000500CF" w:rsidP="000500C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46044">
        <w:rPr>
          <w:rFonts w:ascii="Arial" w:hAnsi="Arial" w:cs="Arial"/>
          <w:b/>
          <w:bCs/>
          <w:color w:val="000000" w:themeColor="text1"/>
          <w:sz w:val="22"/>
          <w:szCs w:val="22"/>
        </w:rPr>
        <w:t>The M120 risk score improves identification of children at high risk of developing clinical type 1 diabetes and reports short-term response to preventative immunotherapy</w:t>
      </w:r>
    </w:p>
    <w:p w14:paraId="1C9267FF" w14:textId="77777777" w:rsidR="000500CF" w:rsidRDefault="000500CF" w:rsidP="000500C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CE2F6E9" w14:textId="4E93F107" w:rsidR="000500CF" w:rsidRDefault="000500CF" w:rsidP="000500CF">
      <w:pPr>
        <w:rPr>
          <w:rFonts w:ascii="Arial" w:hAnsi="Arial" w:cs="Arial"/>
          <w:color w:val="000000" w:themeColor="text1"/>
          <w:sz w:val="22"/>
          <w:szCs w:val="22"/>
        </w:rPr>
      </w:pPr>
      <w:r w:rsidRPr="001F3F91">
        <w:rPr>
          <w:rFonts w:ascii="Arial" w:hAnsi="Arial" w:cs="Arial"/>
          <w:b/>
          <w:bCs/>
          <w:color w:val="000000" w:themeColor="text1"/>
          <w:sz w:val="22"/>
          <w:szCs w:val="22"/>
        </w:rPr>
        <w:t>Aim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The anti-CD3 antibody teplizumab preserves beta-cell function in type 1 diabetes (T1D) and was recently registered for use as a disease-modifying prevention therapy. This has made it challenging to validate promising new prevention therapies using the standard placebo-controlled trial powered around progression to clinical disease. We therefore sought to determine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 xml:space="preserve"> if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 risk score for disease progression derived from correlates of beta-cell function 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 xml:space="preserve">could </w:t>
      </w:r>
      <w:r>
        <w:rPr>
          <w:rFonts w:ascii="Arial" w:hAnsi="Arial" w:cs="Arial"/>
          <w:color w:val="000000" w:themeColor="text1"/>
          <w:sz w:val="22"/>
          <w:szCs w:val="22"/>
        </w:rPr>
        <w:t>improve identification of at-risk people and report early therapeutic effects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A27191F" w14:textId="77777777" w:rsidR="000500CF" w:rsidRPr="001D2EFD" w:rsidRDefault="000500CF" w:rsidP="000500C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8FB70E2" w14:textId="77777777" w:rsidR="000500CF" w:rsidRDefault="000500CF" w:rsidP="000500CF">
      <w:pPr>
        <w:rPr>
          <w:rFonts w:ascii="Arial" w:hAnsi="Arial" w:cs="Arial"/>
          <w:color w:val="000000" w:themeColor="text1"/>
          <w:sz w:val="22"/>
          <w:szCs w:val="22"/>
        </w:rPr>
      </w:pPr>
      <w:r w:rsidRPr="001F3F91">
        <w:rPr>
          <w:rFonts w:ascii="Arial" w:hAnsi="Arial" w:cs="Arial"/>
          <w:b/>
          <w:bCs/>
          <w:color w:val="000000" w:themeColor="text1"/>
          <w:sz w:val="22"/>
          <w:szCs w:val="22"/>
        </w:rPr>
        <w:t>Methods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B83FA1">
        <w:rPr>
          <w:rFonts w:ascii="Arial" w:hAnsi="Arial" w:cs="Arial"/>
          <w:color w:val="000000" w:themeColor="text1"/>
          <w:sz w:val="22"/>
          <w:szCs w:val="22"/>
        </w:rPr>
        <w:t>The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>M120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risk score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calculated using 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 xml:space="preserve">age, sex, </w:t>
      </w:r>
      <w:r>
        <w:rPr>
          <w:rFonts w:ascii="Arial" w:hAnsi="Arial" w:cs="Arial"/>
          <w:color w:val="000000" w:themeColor="text1"/>
          <w:sz w:val="22"/>
          <w:szCs w:val="22"/>
        </w:rPr>
        <w:t>BMI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 xml:space="preserve">, IA-2 antibody, HbA1c, blood glucose and C-peptide, was determined in </w:t>
      </w:r>
      <w:proofErr w:type="spellStart"/>
      <w:r w:rsidRPr="001D2EFD">
        <w:rPr>
          <w:rFonts w:ascii="Arial" w:hAnsi="Arial" w:cs="Arial"/>
          <w:color w:val="000000" w:themeColor="text1"/>
          <w:sz w:val="22"/>
          <w:szCs w:val="22"/>
        </w:rPr>
        <w:t>TrialNet</w:t>
      </w:r>
      <w:proofErr w:type="spellEnd"/>
      <w:r w:rsidRPr="001D2EFD">
        <w:rPr>
          <w:rFonts w:ascii="Arial" w:hAnsi="Arial" w:cs="Arial"/>
          <w:color w:val="000000" w:themeColor="text1"/>
          <w:sz w:val="22"/>
          <w:szCs w:val="22"/>
        </w:rPr>
        <w:t xml:space="preserve"> participants with multiple islet autoantibodies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>undergoing monitoring</w:t>
      </w:r>
      <w:r>
        <w:rPr>
          <w:rFonts w:ascii="Arial" w:hAnsi="Arial" w:cs="Arial"/>
          <w:color w:val="000000" w:themeColor="text1"/>
          <w:sz w:val="22"/>
          <w:szCs w:val="22"/>
        </w:rPr>
        <w:t>, including 76 in the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 xml:space="preserve"> teplizumab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>prevention trial.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We used Cox regression to compare the abilities of M120 and OGTT (the currently used method) to predict T1D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progression, and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paired signed-rank and rank-sum tests to identify early teplizumab</w:t>
      </w:r>
      <w:r w:rsidRPr="006B25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effects.</w:t>
      </w:r>
    </w:p>
    <w:p w14:paraId="112677E7" w14:textId="77777777" w:rsidR="000500CF" w:rsidRDefault="000500CF" w:rsidP="000500C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BD29EAE" w14:textId="77777777" w:rsidR="000500CF" w:rsidRPr="001D2EFD" w:rsidRDefault="000500CF" w:rsidP="000500CF">
      <w:pPr>
        <w:rPr>
          <w:rFonts w:ascii="Arial" w:hAnsi="Arial" w:cs="Arial"/>
          <w:color w:val="000000" w:themeColor="text1"/>
          <w:sz w:val="22"/>
          <w:szCs w:val="22"/>
        </w:rPr>
      </w:pPr>
      <w:r w:rsidRPr="001F3F91">
        <w:rPr>
          <w:rFonts w:ascii="Arial" w:hAnsi="Arial" w:cs="Arial"/>
          <w:b/>
          <w:bCs/>
          <w:color w:val="000000" w:themeColor="text1"/>
          <w:sz w:val="22"/>
          <w:szCs w:val="22"/>
        </w:rPr>
        <w:t>Results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4146 individuals with pre-clinical T1D were included. 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 xml:space="preserve">Compared to disease staging </w:t>
      </w:r>
      <w:r>
        <w:rPr>
          <w:rFonts w:ascii="Arial" w:hAnsi="Arial" w:cs="Arial"/>
          <w:color w:val="000000" w:themeColor="text1"/>
          <w:sz w:val="22"/>
          <w:szCs w:val="22"/>
        </w:rPr>
        <w:t>by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OGTT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>, M120 identified 26% mor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 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 xml:space="preserve">children </w:t>
      </w:r>
      <w:r>
        <w:rPr>
          <w:rFonts w:ascii="Arial" w:hAnsi="Arial" w:cs="Arial"/>
          <w:color w:val="000000" w:themeColor="text1"/>
          <w:sz w:val="22"/>
          <w:szCs w:val="22"/>
        </w:rPr>
        <w:t>at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 xml:space="preserve"> high</w:t>
      </w:r>
      <w:r>
        <w:rPr>
          <w:rFonts w:ascii="Arial" w:hAnsi="Arial" w:cs="Arial"/>
          <w:color w:val="000000" w:themeColor="text1"/>
          <w:sz w:val="22"/>
          <w:szCs w:val="22"/>
        </w:rPr>
        <w:t>-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 xml:space="preserve">risk of </w:t>
      </w:r>
      <w:r>
        <w:rPr>
          <w:rFonts w:ascii="Arial" w:hAnsi="Arial" w:cs="Arial"/>
          <w:color w:val="000000" w:themeColor="text1"/>
          <w:sz w:val="22"/>
          <w:szCs w:val="22"/>
        </w:rPr>
        <w:t>progression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>. When applied to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>teplizumab trial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data,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 xml:space="preserve"> M120 improved after teplizumab and deteriorated after placebo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revealing 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 xml:space="preserve">a significant treatment effect after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only 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months (Figure 1).</w:t>
      </w:r>
    </w:p>
    <w:p w14:paraId="2A1E30CF" w14:textId="77777777" w:rsidR="000500CF" w:rsidRPr="001D2EFD" w:rsidRDefault="000500CF" w:rsidP="000500C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343467F" w14:textId="7A955E49" w:rsidR="000500CF" w:rsidRDefault="000500CF" w:rsidP="000500CF">
      <w:pPr>
        <w:rPr>
          <w:rFonts w:ascii="Arial" w:hAnsi="Arial" w:cs="Arial"/>
          <w:color w:val="000000" w:themeColor="text1"/>
          <w:sz w:val="22"/>
          <w:szCs w:val="22"/>
        </w:rPr>
      </w:pPr>
      <w:r w:rsidRPr="001F3F91">
        <w:rPr>
          <w:rFonts w:ascii="Arial" w:hAnsi="Arial" w:cs="Arial"/>
          <w:b/>
          <w:bCs/>
          <w:color w:val="000000" w:themeColor="text1"/>
          <w:sz w:val="22"/>
          <w:szCs w:val="22"/>
        </w:rPr>
        <w:t>Conclusion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>
        <w:rPr>
          <w:rFonts w:ascii="Arial" w:hAnsi="Arial" w:cs="Arial"/>
          <w:color w:val="000000" w:themeColor="text1"/>
          <w:sz w:val="22"/>
          <w:szCs w:val="22"/>
        </w:rPr>
        <w:t>ability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 xml:space="preserve"> of M12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 to enrich for T1D risk and 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 xml:space="preserve">identify early therapeutic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benefit could 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>increase T1D prevention trial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>efficiency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 increasing enrolment and enabling adaptive designs. The clinical utility of M120 could be readily applied to measure T1D risk and </w:t>
      </w:r>
      <w:r w:rsidRPr="001D2EFD">
        <w:rPr>
          <w:rFonts w:ascii="Arial" w:hAnsi="Arial" w:cs="Arial"/>
          <w:color w:val="000000" w:themeColor="text1"/>
          <w:sz w:val="22"/>
          <w:szCs w:val="22"/>
        </w:rPr>
        <w:t>guide treatment decisions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in the clinic</w:t>
      </w:r>
      <w:r w:rsidR="00681C5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6F4530D" w14:textId="77777777" w:rsidR="000500CF" w:rsidRDefault="000500CF" w:rsidP="000500C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622D632" w14:textId="77777777" w:rsidR="000500CF" w:rsidRDefault="000500CF" w:rsidP="000500CF">
      <w:pPr>
        <w:rPr>
          <w:rFonts w:ascii="Arial" w:hAnsi="Arial" w:cs="Arial"/>
          <w:color w:val="000000" w:themeColor="text1"/>
          <w:sz w:val="22"/>
          <w:szCs w:val="22"/>
        </w:rPr>
      </w:pPr>
      <w:r w:rsidRPr="003C10F3"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3539B58" wp14:editId="097B3FDC">
            <wp:simplePos x="0" y="0"/>
            <wp:positionH relativeFrom="column">
              <wp:posOffset>1059180</wp:posOffset>
            </wp:positionH>
            <wp:positionV relativeFrom="paragraph">
              <wp:posOffset>163830</wp:posOffset>
            </wp:positionV>
            <wp:extent cx="3475990" cy="1685290"/>
            <wp:effectExtent l="12700" t="12700" r="16510" b="16510"/>
            <wp:wrapTight wrapText="bothSides">
              <wp:wrapPolygon edited="0">
                <wp:start x="-79" y="-163"/>
                <wp:lineTo x="-79" y="21649"/>
                <wp:lineTo x="21624" y="21649"/>
                <wp:lineTo x="21624" y="-163"/>
                <wp:lineTo x="-79" y="-163"/>
              </wp:wrapPolygon>
            </wp:wrapTight>
            <wp:docPr id="582290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2909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5990" cy="168529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FDFAF" w14:textId="77777777" w:rsidR="000500CF" w:rsidRDefault="000500CF" w:rsidP="000500C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1B4F3CC" w14:textId="77777777" w:rsidR="000500CF" w:rsidRDefault="000500CF" w:rsidP="000500C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5F9ADEE" w14:textId="77777777" w:rsidR="000500CF" w:rsidRDefault="000500CF" w:rsidP="000500C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6925A1E" w14:textId="77777777" w:rsidR="000500CF" w:rsidRDefault="000500CF" w:rsidP="000500C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797FA2D" w14:textId="77777777" w:rsidR="000500CF" w:rsidRDefault="000500CF" w:rsidP="000500C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C6582EA" w14:textId="77777777" w:rsidR="000500CF" w:rsidRPr="001D2EFD" w:rsidRDefault="000500CF" w:rsidP="000500C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D5C1A81" w14:textId="77777777" w:rsidR="000500CF" w:rsidRPr="001D2EFD" w:rsidRDefault="000500CF" w:rsidP="000500C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171BC5A" w14:textId="77777777" w:rsidR="000500CF" w:rsidRPr="001D2EFD" w:rsidRDefault="000500CF" w:rsidP="000500C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D9E16DD" w14:textId="77777777" w:rsidR="00700C4B" w:rsidRDefault="00700C4B"/>
    <w:sectPr w:rsidR="00700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CF"/>
    <w:rsid w:val="000500CF"/>
    <w:rsid w:val="00096F34"/>
    <w:rsid w:val="000B5144"/>
    <w:rsid w:val="000D0AF4"/>
    <w:rsid w:val="000F3CCC"/>
    <w:rsid w:val="001344FF"/>
    <w:rsid w:val="001423D0"/>
    <w:rsid w:val="00166E6C"/>
    <w:rsid w:val="00191F1F"/>
    <w:rsid w:val="001E40BB"/>
    <w:rsid w:val="002C5330"/>
    <w:rsid w:val="002D7801"/>
    <w:rsid w:val="00346956"/>
    <w:rsid w:val="0035728B"/>
    <w:rsid w:val="003A09FF"/>
    <w:rsid w:val="003C530C"/>
    <w:rsid w:val="003D029A"/>
    <w:rsid w:val="004416C6"/>
    <w:rsid w:val="00497EE3"/>
    <w:rsid w:val="004C6F53"/>
    <w:rsid w:val="005129E4"/>
    <w:rsid w:val="00542A70"/>
    <w:rsid w:val="0055792B"/>
    <w:rsid w:val="005838E9"/>
    <w:rsid w:val="00587676"/>
    <w:rsid w:val="00596E10"/>
    <w:rsid w:val="005F208F"/>
    <w:rsid w:val="0060129B"/>
    <w:rsid w:val="00681C57"/>
    <w:rsid w:val="00692BA5"/>
    <w:rsid w:val="006E07BD"/>
    <w:rsid w:val="00700C4B"/>
    <w:rsid w:val="0077353F"/>
    <w:rsid w:val="007E5370"/>
    <w:rsid w:val="00830ADF"/>
    <w:rsid w:val="00881A6C"/>
    <w:rsid w:val="00897492"/>
    <w:rsid w:val="008F24D4"/>
    <w:rsid w:val="00903892"/>
    <w:rsid w:val="00954414"/>
    <w:rsid w:val="00995E64"/>
    <w:rsid w:val="009A017B"/>
    <w:rsid w:val="009B0270"/>
    <w:rsid w:val="009B5E0A"/>
    <w:rsid w:val="009C5825"/>
    <w:rsid w:val="009F6724"/>
    <w:rsid w:val="00A25DDF"/>
    <w:rsid w:val="00BF6FF5"/>
    <w:rsid w:val="00C339F8"/>
    <w:rsid w:val="00C45131"/>
    <w:rsid w:val="00CF0B0A"/>
    <w:rsid w:val="00D34AEA"/>
    <w:rsid w:val="00D45588"/>
    <w:rsid w:val="00D9683C"/>
    <w:rsid w:val="00E168A6"/>
    <w:rsid w:val="00E17A12"/>
    <w:rsid w:val="00E22419"/>
    <w:rsid w:val="00EA0584"/>
    <w:rsid w:val="00F50180"/>
    <w:rsid w:val="00F56B6E"/>
    <w:rsid w:val="00F57623"/>
    <w:rsid w:val="00FB287C"/>
    <w:rsid w:val="00F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4FBF88"/>
  <w15:chartTrackingRefBased/>
  <w15:docId w15:val="{1472C06F-54F8-D14C-830D-3B6F0B17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kern w:val="2"/>
        <w:sz w:val="22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CF"/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0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0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0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0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0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0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0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0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0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0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0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0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0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0C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0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0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0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00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0CF"/>
    <w:pPr>
      <w:spacing w:before="160" w:after="160"/>
      <w:jc w:val="center"/>
    </w:pPr>
    <w:rPr>
      <w:rFonts w:ascii="Calibri" w:eastAsiaTheme="minorHAnsi" w:hAnsi="Calibri" w:cs="Times New Roman (Body CS)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0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0CF"/>
    <w:pPr>
      <w:ind w:left="720"/>
      <w:contextualSpacing/>
    </w:pPr>
    <w:rPr>
      <w:rFonts w:ascii="Calibri" w:eastAsiaTheme="minorHAnsi" w:hAnsi="Calibri" w:cs="Times New Roman (Body CS)"/>
      <w:kern w:val="2"/>
      <w:sz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0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eastAsiaTheme="minorHAnsi" w:hAnsi="Calibri" w:cs="Times New Roman (Body CS)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Le</dc:creator>
  <cp:keywords/>
  <dc:description/>
  <cp:lastModifiedBy>Minh Le</cp:lastModifiedBy>
  <cp:revision>3</cp:revision>
  <dcterms:created xsi:type="dcterms:W3CDTF">2025-05-07T14:52:00Z</dcterms:created>
  <dcterms:modified xsi:type="dcterms:W3CDTF">2025-05-07T14:55:00Z</dcterms:modified>
</cp:coreProperties>
</file>