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07"/>
      </w:tblGrid>
      <w:tr w:rsidR="001564A4" w:rsidRPr="00FF23CE" w14:paraId="5C38377B" w14:textId="77777777" w:rsidTr="00C4131E">
        <w:trPr>
          <w:trHeight w:val="367"/>
          <w:jc w:val="center"/>
        </w:trPr>
        <w:tc>
          <w:tcPr>
            <w:tcW w:w="9707" w:type="dxa"/>
            <w:shd w:val="clear" w:color="auto" w:fill="auto"/>
          </w:tcPr>
          <w:p w14:paraId="5C44F357" w14:textId="3BA8BD9B" w:rsidR="001564A4" w:rsidRPr="00FF23CE" w:rsidRDefault="002A1C51" w:rsidP="002A1C51">
            <w:pPr>
              <w:rPr>
                <w:rFonts w:ascii="Arial" w:hAnsi="Arial" w:cs="Arial"/>
                <w:b/>
                <w:sz w:val="22"/>
                <w:szCs w:val="22"/>
                <w:lang w:val="en-US" w:eastAsia="en-GB"/>
              </w:rPr>
            </w:pPr>
            <w:r w:rsidRPr="00FF23CE">
              <w:rPr>
                <w:rFonts w:ascii="Arial" w:hAnsi="Arial" w:cs="Arial"/>
                <w:b/>
                <w:sz w:val="22"/>
                <w:szCs w:val="22"/>
                <w:lang w:val="en-US" w:eastAsia="en-GB"/>
              </w:rPr>
              <w:t>New Respiratory Rapid Access Service reduces ED presentations and hospital admissions.</w:t>
            </w:r>
          </w:p>
        </w:tc>
      </w:tr>
      <w:tr w:rsidR="001564A4" w:rsidRPr="00FF23CE" w14:paraId="0E2E035C" w14:textId="77777777" w:rsidTr="00C4131E">
        <w:trPr>
          <w:trHeight w:val="325"/>
          <w:jc w:val="center"/>
        </w:trPr>
        <w:tc>
          <w:tcPr>
            <w:tcW w:w="9707" w:type="dxa"/>
            <w:shd w:val="clear" w:color="auto" w:fill="auto"/>
          </w:tcPr>
          <w:p w14:paraId="73B55295" w14:textId="79AB62BB" w:rsidR="001564A4" w:rsidRPr="00FF23CE" w:rsidRDefault="00846F93" w:rsidP="00846F93">
            <w:pPr>
              <w:pStyle w:val="NoSpacing"/>
              <w:rPr>
                <w:rFonts w:ascii="Arial" w:hAnsi="Arial" w:cs="Arial"/>
                <w:lang w:val="en-US" w:eastAsia="en-GB"/>
              </w:rPr>
            </w:pPr>
            <w:r w:rsidRPr="00FF23CE">
              <w:rPr>
                <w:rFonts w:ascii="Arial" w:hAnsi="Arial" w:cs="Arial"/>
                <w:lang w:val="en-US" w:eastAsia="en-GB"/>
              </w:rPr>
              <w:t>Emily Lawton</w:t>
            </w:r>
            <w:r w:rsidRPr="00FF23CE">
              <w:rPr>
                <w:rFonts w:ascii="Arial" w:hAnsi="Arial" w:cs="Arial"/>
                <w:vertAlign w:val="superscript"/>
                <w:lang w:val="en-US" w:eastAsia="en-GB"/>
              </w:rPr>
              <w:t>1</w:t>
            </w:r>
            <w:bookmarkStart w:id="0" w:name="Text8"/>
            <w:r w:rsidRPr="00FF23CE">
              <w:rPr>
                <w:rFonts w:ascii="Arial" w:hAnsi="Arial" w:cs="Arial"/>
                <w:vertAlign w:val="superscript"/>
                <w:lang w:val="en-US" w:eastAsia="en-GB"/>
              </w:rPr>
              <w:t>,2</w:t>
            </w:r>
            <w:bookmarkEnd w:id="0"/>
            <w:r w:rsidRPr="00FF23CE">
              <w:rPr>
                <w:rFonts w:ascii="Arial" w:hAnsi="Arial" w:cs="Arial"/>
                <w:lang w:val="en-US" w:eastAsia="en-GB"/>
              </w:rPr>
              <w:t>, Phan Nguyen</w:t>
            </w:r>
            <w:r w:rsidRPr="00FF23CE">
              <w:rPr>
                <w:rFonts w:ascii="Arial" w:hAnsi="Arial" w:cs="Arial"/>
                <w:vertAlign w:val="superscript"/>
                <w:lang w:val="en-US" w:eastAsia="en-GB"/>
              </w:rPr>
              <w:t>1,2</w:t>
            </w:r>
            <w:r w:rsidRPr="00FF23CE">
              <w:rPr>
                <w:rFonts w:ascii="Arial" w:hAnsi="Arial" w:cs="Arial"/>
                <w:lang w:val="en-US" w:eastAsia="en-GB"/>
              </w:rPr>
              <w:t>, Mary Young</w:t>
            </w:r>
            <w:r w:rsidRPr="00FF23CE">
              <w:rPr>
                <w:rFonts w:ascii="Arial" w:hAnsi="Arial" w:cs="Arial"/>
                <w:vertAlign w:val="superscript"/>
                <w:lang w:val="en-US" w:eastAsia="en-GB"/>
              </w:rPr>
              <w:t>1,3</w:t>
            </w:r>
            <w:r w:rsidRPr="00FF23CE">
              <w:rPr>
                <w:rFonts w:ascii="Arial" w:hAnsi="Arial" w:cs="Arial"/>
                <w:lang w:val="en-US" w:eastAsia="en-GB"/>
              </w:rPr>
              <w:t>, Nicole Jones</w:t>
            </w:r>
            <w:r w:rsidRPr="00FF23CE">
              <w:rPr>
                <w:rFonts w:ascii="Arial" w:hAnsi="Arial" w:cs="Arial"/>
                <w:vertAlign w:val="superscript"/>
                <w:lang w:val="en-US" w:eastAsia="en-GB"/>
              </w:rPr>
              <w:t>1</w:t>
            </w:r>
            <w:r w:rsidRPr="00FF23CE">
              <w:rPr>
                <w:rFonts w:ascii="Arial" w:hAnsi="Arial" w:cs="Arial"/>
                <w:lang w:val="en-US" w:eastAsia="en-GB"/>
              </w:rPr>
              <w:t xml:space="preserve">, Paul Reynolds </w:t>
            </w:r>
            <w:r w:rsidRPr="00FF23CE">
              <w:rPr>
                <w:rFonts w:ascii="Arial" w:hAnsi="Arial" w:cs="Arial"/>
                <w:vertAlign w:val="superscript"/>
                <w:lang w:val="en-US" w:eastAsia="en-GB"/>
              </w:rPr>
              <w:t>1,</w:t>
            </w:r>
            <w:r w:rsidR="003D20D8">
              <w:rPr>
                <w:rFonts w:ascii="Arial" w:hAnsi="Arial" w:cs="Arial"/>
                <w:vertAlign w:val="superscript"/>
                <w:lang w:val="en-US" w:eastAsia="en-GB"/>
              </w:rPr>
              <w:t>2</w:t>
            </w:r>
          </w:p>
        </w:tc>
      </w:tr>
      <w:tr w:rsidR="001564A4" w:rsidRPr="00FF23CE" w14:paraId="385A19D9" w14:textId="77777777" w:rsidTr="00C4131E">
        <w:trPr>
          <w:trHeight w:val="202"/>
          <w:jc w:val="center"/>
        </w:trPr>
        <w:tc>
          <w:tcPr>
            <w:tcW w:w="9707" w:type="dxa"/>
            <w:shd w:val="clear" w:color="auto" w:fill="auto"/>
          </w:tcPr>
          <w:p w14:paraId="0E603410" w14:textId="77777777" w:rsidR="003C4144" w:rsidRPr="00FF23CE" w:rsidRDefault="003C4144" w:rsidP="003C4144">
            <w:pPr>
              <w:pStyle w:val="NoSpacing"/>
              <w:rPr>
                <w:rFonts w:ascii="Arial" w:hAnsi="Arial" w:cs="Arial"/>
                <w:i/>
                <w:lang w:val="en-US" w:eastAsia="en-GB"/>
              </w:rPr>
            </w:pPr>
            <w:r w:rsidRPr="00FF23CE">
              <w:rPr>
                <w:rFonts w:ascii="Arial" w:hAnsi="Arial" w:cs="Arial"/>
                <w:i/>
                <w:vertAlign w:val="superscript"/>
                <w:lang w:val="en-US" w:eastAsia="en-GB"/>
              </w:rPr>
              <w:t>1</w:t>
            </w:r>
            <w:r w:rsidRPr="00FF23CE">
              <w:rPr>
                <w:rFonts w:ascii="Arial" w:hAnsi="Arial" w:cs="Arial"/>
                <w:i/>
                <w:lang w:val="en-US" w:eastAsia="en-GB"/>
              </w:rPr>
              <w:t xml:space="preserve"> Thoracic Medicine, The Royal Adelaide Hospital, Adelaide, South Australia, Australia</w:t>
            </w:r>
          </w:p>
          <w:p w14:paraId="1BB9F37A" w14:textId="77777777" w:rsidR="003C4144" w:rsidRPr="00FF23CE" w:rsidRDefault="003C4144" w:rsidP="003C4144">
            <w:pPr>
              <w:pStyle w:val="NoSpacing"/>
              <w:rPr>
                <w:rFonts w:ascii="Arial" w:hAnsi="Arial" w:cs="Arial"/>
                <w:i/>
                <w:iCs/>
                <w:color w:val="000000"/>
              </w:rPr>
            </w:pPr>
            <w:r w:rsidRPr="00FF23CE">
              <w:rPr>
                <w:rFonts w:ascii="Arial" w:hAnsi="Arial" w:cs="Arial"/>
                <w:i/>
                <w:vertAlign w:val="superscript"/>
                <w:lang w:val="en-US" w:eastAsia="en-GB"/>
              </w:rPr>
              <w:t>2</w:t>
            </w:r>
            <w:r w:rsidRPr="00FF23CE">
              <w:rPr>
                <w:rFonts w:ascii="Arial" w:hAnsi="Arial" w:cs="Arial"/>
                <w:i/>
                <w:lang w:val="en-US" w:eastAsia="en-GB"/>
              </w:rPr>
              <w:t xml:space="preserve">Medical School, </w:t>
            </w:r>
            <w:r w:rsidRPr="00FF23CE">
              <w:rPr>
                <w:rFonts w:ascii="Arial" w:hAnsi="Arial" w:cs="Arial"/>
                <w:i/>
                <w:iCs/>
                <w:color w:val="000000"/>
              </w:rPr>
              <w:t>The University of Adelaide, South Australia, Australia</w:t>
            </w:r>
            <w:r w:rsidRPr="00FF23CE">
              <w:rPr>
                <w:rFonts w:ascii="Arial" w:hAnsi="Arial" w:cs="Arial"/>
                <w:i/>
                <w:iCs/>
                <w:color w:val="000000"/>
              </w:rPr>
              <w:tab/>
            </w:r>
          </w:p>
          <w:p w14:paraId="45ED36BF" w14:textId="181920BB" w:rsidR="00BF5443" w:rsidRPr="00BF5443" w:rsidRDefault="003C4144" w:rsidP="00BF5443">
            <w:pPr>
              <w:pStyle w:val="NoSpacing"/>
              <w:rPr>
                <w:rFonts w:eastAsia="Times New Roman"/>
              </w:rPr>
            </w:pPr>
            <w:r w:rsidRPr="00FF23CE">
              <w:rPr>
                <w:rFonts w:ascii="Arial" w:hAnsi="Arial" w:cs="Arial"/>
                <w:i/>
                <w:iCs/>
                <w:color w:val="000000"/>
                <w:vertAlign w:val="superscript"/>
              </w:rPr>
              <w:t>3</w:t>
            </w:r>
            <w:r w:rsidRPr="00FF23CE">
              <w:rPr>
                <w:rFonts w:ascii="Arial" w:hAnsi="Arial" w:cs="Arial"/>
                <w:i/>
                <w:iCs/>
                <w:color w:val="000000"/>
              </w:rPr>
              <w:t>University of South Australia, South Australia, Austra</w:t>
            </w:r>
            <w:r w:rsidR="00BF5443">
              <w:rPr>
                <w:rFonts w:ascii="Arial" w:hAnsi="Arial" w:cs="Arial"/>
                <w:i/>
                <w:iCs/>
                <w:color w:val="000000"/>
              </w:rPr>
              <w:t>lia</w:t>
            </w:r>
            <w:r w:rsidR="00BF5443">
              <w:tab/>
            </w:r>
          </w:p>
        </w:tc>
      </w:tr>
      <w:tr w:rsidR="00BF5443" w:rsidRPr="00FF23CE" w14:paraId="7FAF7346" w14:textId="77777777" w:rsidTr="00C4131E">
        <w:trPr>
          <w:trHeight w:val="202"/>
          <w:jc w:val="center"/>
        </w:trPr>
        <w:tc>
          <w:tcPr>
            <w:tcW w:w="9707" w:type="dxa"/>
            <w:shd w:val="clear" w:color="auto" w:fill="auto"/>
          </w:tcPr>
          <w:p w14:paraId="1A43453E" w14:textId="77777777" w:rsidR="003D20D8" w:rsidRDefault="003D20D8" w:rsidP="00BF5443">
            <w:pPr>
              <w:pStyle w:val="Pa12"/>
              <w:spacing w:line="240" w:lineRule="auto"/>
              <w:rPr>
                <w:rStyle w:val="A4"/>
                <w:b/>
                <w:bCs/>
              </w:rPr>
            </w:pPr>
          </w:p>
          <w:p w14:paraId="339A51D4" w14:textId="38C28A60" w:rsidR="00BF5443" w:rsidRPr="00FF23CE" w:rsidRDefault="00BF5443" w:rsidP="00BF5443">
            <w:pPr>
              <w:pStyle w:val="Pa12"/>
              <w:spacing w:line="240" w:lineRule="auto"/>
              <w:rPr>
                <w:rStyle w:val="A4"/>
              </w:rPr>
            </w:pPr>
            <w:r w:rsidRPr="00FF23CE">
              <w:rPr>
                <w:rStyle w:val="A4"/>
                <w:b/>
                <w:bCs/>
              </w:rPr>
              <w:t xml:space="preserve">Introduction/Aim: </w:t>
            </w:r>
          </w:p>
          <w:p w14:paraId="4241F0BB" w14:textId="77777777" w:rsidR="00BF5443" w:rsidRPr="00FF23CE" w:rsidRDefault="00BF5443" w:rsidP="00BF5443">
            <w:pPr>
              <w:rPr>
                <w:rStyle w:val="A4"/>
                <w:rFonts w:ascii="Arial" w:hAnsi="Arial" w:cs="Arial"/>
                <w:iCs/>
                <w:color w:val="auto"/>
              </w:rPr>
            </w:pPr>
            <w:r w:rsidRPr="00FF23CE">
              <w:rPr>
                <w:rFonts w:ascii="Arial" w:hAnsi="Arial" w:cs="Arial"/>
                <w:iCs/>
                <w:sz w:val="22"/>
                <w:szCs w:val="22"/>
              </w:rPr>
              <w:t xml:space="preserve">Increased demand for inpatient and Emergency Department (ED) health services, ambulance ramping and hospital congestion, along with increased urgent referrals, requires adaptive healthcare practises. We designed and implemented a specialist Respiratory Rapid Access Service (RRAS) offering patients a safe alternative pathway, aiming to prevent ED presentations and inpatient admissions by offering patients high level specialist review and ongoing management in the community. </w:t>
            </w:r>
          </w:p>
          <w:p w14:paraId="76BD110B" w14:textId="77777777" w:rsidR="00BF5443" w:rsidRPr="00FF23CE" w:rsidRDefault="00BF5443" w:rsidP="00BF5443">
            <w:pPr>
              <w:pStyle w:val="Pa12"/>
              <w:spacing w:line="240" w:lineRule="auto"/>
              <w:rPr>
                <w:b/>
                <w:bCs/>
                <w:color w:val="000000"/>
                <w:sz w:val="22"/>
                <w:szCs w:val="22"/>
              </w:rPr>
            </w:pPr>
            <w:r w:rsidRPr="00FF23CE">
              <w:rPr>
                <w:rStyle w:val="A4"/>
                <w:b/>
                <w:bCs/>
              </w:rPr>
              <w:t xml:space="preserve">Methods: </w:t>
            </w:r>
          </w:p>
          <w:p w14:paraId="4E43CE67" w14:textId="77777777" w:rsidR="00BF5443" w:rsidRPr="00FF23CE" w:rsidRDefault="00BF5443" w:rsidP="00BF5443">
            <w:pPr>
              <w:rPr>
                <w:rStyle w:val="A4"/>
                <w:rFonts w:ascii="Arial" w:hAnsi="Arial" w:cs="Arial"/>
                <w:iCs/>
                <w:color w:val="auto"/>
              </w:rPr>
            </w:pPr>
            <w:r w:rsidRPr="00FF23CE">
              <w:rPr>
                <w:rFonts w:ascii="Arial" w:hAnsi="Arial" w:cs="Arial"/>
                <w:iCs/>
                <w:sz w:val="22"/>
                <w:szCs w:val="22"/>
              </w:rPr>
              <w:t xml:space="preserve">RRAS was implemented as a pilot specialist service.  Approved pathways included direct patient contact, specialty or ED referral and expedited review of urgent referrals, including new symptomatic malignancy. Patients were reviewed by a respiratory physician and nurse specialist within 24-72hrs with the option for telehealth. Data captured included patient demographics, medical and nursing activity, ED presentations avoided, hospital admissions prevented and qualitative patient evaluation. </w:t>
            </w:r>
          </w:p>
          <w:p w14:paraId="1A52258E" w14:textId="77777777" w:rsidR="00BF5443" w:rsidRPr="00FF23CE" w:rsidRDefault="00BF5443" w:rsidP="00BF5443">
            <w:pPr>
              <w:pStyle w:val="Pa12"/>
              <w:spacing w:line="240" w:lineRule="auto"/>
              <w:rPr>
                <w:rStyle w:val="A4"/>
                <w:b/>
                <w:bCs/>
              </w:rPr>
            </w:pPr>
            <w:r w:rsidRPr="00FF23CE">
              <w:rPr>
                <w:rStyle w:val="A4"/>
                <w:b/>
                <w:bCs/>
              </w:rPr>
              <w:t xml:space="preserve">Results: </w:t>
            </w:r>
          </w:p>
          <w:tbl>
            <w:tblPr>
              <w:tblStyle w:val="TableGrid"/>
              <w:tblpPr w:leftFromText="180" w:rightFromText="180" w:vertAnchor="text" w:horzAnchor="margin" w:tblpY="554"/>
              <w:tblOverlap w:val="never"/>
              <w:tblW w:w="0" w:type="auto"/>
              <w:tblLayout w:type="fixed"/>
              <w:tblLook w:val="04A0" w:firstRow="1" w:lastRow="0" w:firstColumn="1" w:lastColumn="0" w:noHBand="0" w:noVBand="1"/>
            </w:tblPr>
            <w:tblGrid>
              <w:gridCol w:w="2565"/>
              <w:gridCol w:w="1813"/>
            </w:tblGrid>
            <w:tr w:rsidR="00BF5443" w:rsidRPr="00FF23CE" w14:paraId="72A3B8EB" w14:textId="77777777" w:rsidTr="00C4131E">
              <w:trPr>
                <w:trHeight w:val="273"/>
              </w:trPr>
              <w:tc>
                <w:tcPr>
                  <w:tcW w:w="2565" w:type="dxa"/>
                </w:tcPr>
                <w:p w14:paraId="5C776DC9" w14:textId="77777777" w:rsidR="00BF5443" w:rsidRPr="00FF23CE" w:rsidRDefault="00BF5443" w:rsidP="00BF5443">
                  <w:pPr>
                    <w:jc w:val="center"/>
                    <w:rPr>
                      <w:rFonts w:ascii="Arial" w:hAnsi="Arial" w:cs="Arial"/>
                      <w:b/>
                      <w:bCs/>
                      <w:sz w:val="18"/>
                      <w:szCs w:val="18"/>
                    </w:rPr>
                  </w:pPr>
                  <w:r w:rsidRPr="00FF23CE">
                    <w:rPr>
                      <w:rFonts w:ascii="Arial" w:hAnsi="Arial" w:cs="Arial"/>
                      <w:b/>
                      <w:bCs/>
                      <w:sz w:val="18"/>
                      <w:szCs w:val="18"/>
                    </w:rPr>
                    <w:t>RRAS outcome</w:t>
                  </w:r>
                </w:p>
              </w:tc>
              <w:tc>
                <w:tcPr>
                  <w:tcW w:w="1813" w:type="dxa"/>
                </w:tcPr>
                <w:p w14:paraId="6CBB9082" w14:textId="77777777" w:rsidR="00BF5443" w:rsidRPr="00FF23CE" w:rsidRDefault="00BF5443" w:rsidP="00BF5443">
                  <w:pPr>
                    <w:jc w:val="center"/>
                    <w:rPr>
                      <w:rFonts w:ascii="Arial" w:hAnsi="Arial" w:cs="Arial"/>
                      <w:b/>
                      <w:bCs/>
                      <w:sz w:val="18"/>
                      <w:szCs w:val="18"/>
                    </w:rPr>
                  </w:pPr>
                  <w:r w:rsidRPr="00FF23CE">
                    <w:rPr>
                      <w:rFonts w:ascii="Arial" w:hAnsi="Arial" w:cs="Arial"/>
                      <w:b/>
                      <w:bCs/>
                      <w:sz w:val="18"/>
                      <w:szCs w:val="18"/>
                    </w:rPr>
                    <w:t>No. of patients</w:t>
                  </w:r>
                </w:p>
              </w:tc>
            </w:tr>
            <w:tr w:rsidR="00BF5443" w:rsidRPr="00FF23CE" w14:paraId="2F59A28A" w14:textId="77777777" w:rsidTr="00C4131E">
              <w:trPr>
                <w:trHeight w:val="260"/>
              </w:trPr>
              <w:tc>
                <w:tcPr>
                  <w:tcW w:w="2565" w:type="dxa"/>
                </w:tcPr>
                <w:p w14:paraId="0DFA0C94"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Patients seen in RRAS</w:t>
                  </w:r>
                </w:p>
              </w:tc>
              <w:tc>
                <w:tcPr>
                  <w:tcW w:w="1813" w:type="dxa"/>
                </w:tcPr>
                <w:p w14:paraId="4CC15152"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208</w:t>
                  </w:r>
                </w:p>
              </w:tc>
            </w:tr>
            <w:tr w:rsidR="00BF5443" w:rsidRPr="00FF23CE" w14:paraId="10DCB736" w14:textId="77777777" w:rsidTr="00C4131E">
              <w:trPr>
                <w:trHeight w:val="273"/>
              </w:trPr>
              <w:tc>
                <w:tcPr>
                  <w:tcW w:w="2565" w:type="dxa"/>
                </w:tcPr>
                <w:p w14:paraId="1CBD4341"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Total episodes</w:t>
                  </w:r>
                </w:p>
              </w:tc>
              <w:tc>
                <w:tcPr>
                  <w:tcW w:w="1813" w:type="dxa"/>
                </w:tcPr>
                <w:p w14:paraId="23C9D428"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371</w:t>
                  </w:r>
                </w:p>
              </w:tc>
            </w:tr>
            <w:tr w:rsidR="00BF5443" w:rsidRPr="00FF23CE" w14:paraId="69195CF5" w14:textId="77777777" w:rsidTr="00C4131E">
              <w:trPr>
                <w:trHeight w:val="273"/>
              </w:trPr>
              <w:tc>
                <w:tcPr>
                  <w:tcW w:w="2565" w:type="dxa"/>
                </w:tcPr>
                <w:p w14:paraId="7E6D3A53"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Total encounters</w:t>
                  </w:r>
                </w:p>
              </w:tc>
              <w:tc>
                <w:tcPr>
                  <w:tcW w:w="1813" w:type="dxa"/>
                </w:tcPr>
                <w:p w14:paraId="3F638CB2"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462</w:t>
                  </w:r>
                </w:p>
              </w:tc>
            </w:tr>
            <w:tr w:rsidR="00BF5443" w:rsidRPr="00FF23CE" w14:paraId="00E4C11E" w14:textId="77777777" w:rsidTr="00C4131E">
              <w:trPr>
                <w:trHeight w:val="260"/>
              </w:trPr>
              <w:tc>
                <w:tcPr>
                  <w:tcW w:w="2565" w:type="dxa"/>
                </w:tcPr>
                <w:p w14:paraId="0D100A1C"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ED presentations avoided</w:t>
                  </w:r>
                </w:p>
              </w:tc>
              <w:tc>
                <w:tcPr>
                  <w:tcW w:w="1813" w:type="dxa"/>
                </w:tcPr>
                <w:p w14:paraId="3B608540"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211</w:t>
                  </w:r>
                </w:p>
              </w:tc>
            </w:tr>
            <w:tr w:rsidR="00BF5443" w:rsidRPr="00FF23CE" w14:paraId="745BF6E0" w14:textId="77777777" w:rsidTr="00C4131E">
              <w:trPr>
                <w:trHeight w:val="273"/>
              </w:trPr>
              <w:tc>
                <w:tcPr>
                  <w:tcW w:w="2565" w:type="dxa"/>
                </w:tcPr>
                <w:p w14:paraId="62D15FB5"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ED Hours saved</w:t>
                  </w:r>
                </w:p>
              </w:tc>
              <w:tc>
                <w:tcPr>
                  <w:tcW w:w="1813" w:type="dxa"/>
                </w:tcPr>
                <w:p w14:paraId="15518B5C"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1245</w:t>
                  </w:r>
                </w:p>
              </w:tc>
            </w:tr>
            <w:tr w:rsidR="00BF5443" w:rsidRPr="00FF23CE" w14:paraId="0260B962" w14:textId="77777777" w:rsidTr="00C4131E">
              <w:trPr>
                <w:trHeight w:val="273"/>
              </w:trPr>
              <w:tc>
                <w:tcPr>
                  <w:tcW w:w="2565" w:type="dxa"/>
                </w:tcPr>
                <w:p w14:paraId="071AE0E5"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Hospital admissions avoided</w:t>
                  </w:r>
                </w:p>
              </w:tc>
              <w:tc>
                <w:tcPr>
                  <w:tcW w:w="1813" w:type="dxa"/>
                </w:tcPr>
                <w:p w14:paraId="2D326BDD"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109</w:t>
                  </w:r>
                </w:p>
              </w:tc>
            </w:tr>
            <w:tr w:rsidR="00BF5443" w:rsidRPr="00FF23CE" w14:paraId="3C2A25BB" w14:textId="77777777" w:rsidTr="00C4131E">
              <w:trPr>
                <w:trHeight w:val="273"/>
              </w:trPr>
              <w:tc>
                <w:tcPr>
                  <w:tcW w:w="2565" w:type="dxa"/>
                </w:tcPr>
                <w:p w14:paraId="53B48BA3"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Early discharges facilitated</w:t>
                  </w:r>
                </w:p>
              </w:tc>
              <w:tc>
                <w:tcPr>
                  <w:tcW w:w="1813" w:type="dxa"/>
                </w:tcPr>
                <w:p w14:paraId="505DDE68"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49</w:t>
                  </w:r>
                </w:p>
              </w:tc>
            </w:tr>
            <w:tr w:rsidR="00BF5443" w:rsidRPr="00FF23CE" w14:paraId="6F083B4C" w14:textId="77777777" w:rsidTr="00C4131E">
              <w:trPr>
                <w:trHeight w:val="260"/>
              </w:trPr>
              <w:tc>
                <w:tcPr>
                  <w:tcW w:w="2565" w:type="dxa"/>
                </w:tcPr>
                <w:p w14:paraId="37F64AA1"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Bed days saved</w:t>
                  </w:r>
                </w:p>
              </w:tc>
              <w:tc>
                <w:tcPr>
                  <w:tcW w:w="1813" w:type="dxa"/>
                </w:tcPr>
                <w:p w14:paraId="7E99D834"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554</w:t>
                  </w:r>
                </w:p>
              </w:tc>
            </w:tr>
            <w:tr w:rsidR="00BF5443" w:rsidRPr="00FF23CE" w14:paraId="79D1FFBD" w14:textId="77777777" w:rsidTr="00C4131E">
              <w:trPr>
                <w:trHeight w:val="273"/>
              </w:trPr>
              <w:tc>
                <w:tcPr>
                  <w:tcW w:w="2565" w:type="dxa"/>
                </w:tcPr>
                <w:p w14:paraId="29D7CEEB"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Expedited cat 1 reviews</w:t>
                  </w:r>
                </w:p>
              </w:tc>
              <w:tc>
                <w:tcPr>
                  <w:tcW w:w="1813" w:type="dxa"/>
                </w:tcPr>
                <w:p w14:paraId="5729CE08"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122</w:t>
                  </w:r>
                </w:p>
              </w:tc>
            </w:tr>
          </w:tbl>
          <w:p w14:paraId="084CF903" w14:textId="77777777" w:rsidR="00BF5443" w:rsidRPr="00FF23CE" w:rsidRDefault="00BF5443" w:rsidP="00BF5443">
            <w:pPr>
              <w:pStyle w:val="Pa12"/>
              <w:spacing w:line="240" w:lineRule="auto"/>
              <w:rPr>
                <w:iCs/>
                <w:sz w:val="22"/>
                <w:szCs w:val="22"/>
              </w:rPr>
            </w:pPr>
            <w:r w:rsidRPr="00FF23CE">
              <w:rPr>
                <w:iCs/>
                <w:sz w:val="22"/>
                <w:szCs w:val="22"/>
              </w:rPr>
              <w:t xml:space="preserve">In the 6-month pilot 208 patients were reviewed: 371 separate episodes of care. The most common respiratory pathology was malignancy, pleural disease, and airways disease. </w:t>
            </w:r>
          </w:p>
          <w:tbl>
            <w:tblPr>
              <w:tblStyle w:val="TableGrid"/>
              <w:tblpPr w:leftFromText="180" w:rightFromText="180" w:vertAnchor="text" w:horzAnchor="margin" w:tblpXSpec="right" w:tblpY="66"/>
              <w:tblOverlap w:val="never"/>
              <w:tblW w:w="0" w:type="auto"/>
              <w:tblLayout w:type="fixed"/>
              <w:tblLook w:val="04A0" w:firstRow="1" w:lastRow="0" w:firstColumn="1" w:lastColumn="0" w:noHBand="0" w:noVBand="1"/>
            </w:tblPr>
            <w:tblGrid>
              <w:gridCol w:w="2590"/>
              <w:gridCol w:w="1637"/>
            </w:tblGrid>
            <w:tr w:rsidR="00BF5443" w:rsidRPr="00FF23CE" w14:paraId="19B54353" w14:textId="77777777" w:rsidTr="00C4131E">
              <w:trPr>
                <w:trHeight w:hRule="exact" w:val="250"/>
              </w:trPr>
              <w:tc>
                <w:tcPr>
                  <w:tcW w:w="2590" w:type="dxa"/>
                  <w:noWrap/>
                  <w:hideMark/>
                </w:tcPr>
                <w:p w14:paraId="0BF9AB9B" w14:textId="77777777" w:rsidR="00BF5443" w:rsidRPr="00BF5443" w:rsidRDefault="00BF5443" w:rsidP="00BF5443">
                  <w:pPr>
                    <w:jc w:val="center"/>
                    <w:rPr>
                      <w:rFonts w:ascii="Arial" w:hAnsi="Arial" w:cs="Arial"/>
                      <w:b/>
                      <w:bCs/>
                      <w:sz w:val="18"/>
                      <w:szCs w:val="18"/>
                    </w:rPr>
                  </w:pPr>
                  <w:r w:rsidRPr="00BF5443">
                    <w:rPr>
                      <w:rFonts w:ascii="Arial" w:hAnsi="Arial" w:cs="Arial"/>
                      <w:b/>
                      <w:bCs/>
                      <w:sz w:val="18"/>
                      <w:szCs w:val="18"/>
                    </w:rPr>
                    <w:t>Underlying condition</w:t>
                  </w:r>
                </w:p>
              </w:tc>
              <w:tc>
                <w:tcPr>
                  <w:tcW w:w="1637" w:type="dxa"/>
                  <w:noWrap/>
                  <w:hideMark/>
                </w:tcPr>
                <w:p w14:paraId="0438FFAD" w14:textId="77777777" w:rsidR="00BF5443" w:rsidRPr="00BF5443" w:rsidRDefault="00BF5443" w:rsidP="00BF5443">
                  <w:pPr>
                    <w:jc w:val="center"/>
                    <w:rPr>
                      <w:rFonts w:ascii="Arial" w:hAnsi="Arial" w:cs="Arial"/>
                      <w:b/>
                      <w:bCs/>
                      <w:sz w:val="18"/>
                      <w:szCs w:val="18"/>
                    </w:rPr>
                  </w:pPr>
                  <w:r w:rsidRPr="00BF5443">
                    <w:rPr>
                      <w:rFonts w:ascii="Arial" w:hAnsi="Arial" w:cs="Arial"/>
                      <w:b/>
                      <w:bCs/>
                      <w:sz w:val="18"/>
                      <w:szCs w:val="18"/>
                    </w:rPr>
                    <w:t xml:space="preserve">No. of patients </w:t>
                  </w:r>
                </w:p>
              </w:tc>
            </w:tr>
            <w:tr w:rsidR="00BF5443" w:rsidRPr="00FF23CE" w14:paraId="54B96438" w14:textId="77777777" w:rsidTr="00C4131E">
              <w:trPr>
                <w:trHeight w:hRule="exact" w:val="250"/>
              </w:trPr>
              <w:tc>
                <w:tcPr>
                  <w:tcW w:w="2590" w:type="dxa"/>
                  <w:noWrap/>
                  <w:hideMark/>
                </w:tcPr>
                <w:p w14:paraId="59E498D3"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Malignancy</w:t>
                  </w:r>
                </w:p>
              </w:tc>
              <w:tc>
                <w:tcPr>
                  <w:tcW w:w="1637" w:type="dxa"/>
                  <w:noWrap/>
                  <w:hideMark/>
                </w:tcPr>
                <w:p w14:paraId="31C7B00B"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87</w:t>
                  </w:r>
                </w:p>
              </w:tc>
            </w:tr>
            <w:tr w:rsidR="00BF5443" w:rsidRPr="00FF23CE" w14:paraId="13590B5B" w14:textId="77777777" w:rsidTr="00C4131E">
              <w:trPr>
                <w:trHeight w:hRule="exact" w:val="250"/>
              </w:trPr>
              <w:tc>
                <w:tcPr>
                  <w:tcW w:w="2590" w:type="dxa"/>
                  <w:noWrap/>
                  <w:hideMark/>
                </w:tcPr>
                <w:p w14:paraId="6746AA75"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COPD</w:t>
                  </w:r>
                </w:p>
              </w:tc>
              <w:tc>
                <w:tcPr>
                  <w:tcW w:w="1637" w:type="dxa"/>
                  <w:noWrap/>
                  <w:hideMark/>
                </w:tcPr>
                <w:p w14:paraId="1D063CD9"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83</w:t>
                  </w:r>
                </w:p>
              </w:tc>
            </w:tr>
            <w:tr w:rsidR="00BF5443" w:rsidRPr="00FF23CE" w14:paraId="396A7C34" w14:textId="77777777" w:rsidTr="00C4131E">
              <w:trPr>
                <w:trHeight w:hRule="exact" w:val="250"/>
              </w:trPr>
              <w:tc>
                <w:tcPr>
                  <w:tcW w:w="2590" w:type="dxa"/>
                  <w:noWrap/>
                  <w:hideMark/>
                </w:tcPr>
                <w:p w14:paraId="5A155037"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Pleural disease</w:t>
                  </w:r>
                </w:p>
              </w:tc>
              <w:tc>
                <w:tcPr>
                  <w:tcW w:w="1637" w:type="dxa"/>
                  <w:noWrap/>
                  <w:hideMark/>
                </w:tcPr>
                <w:p w14:paraId="7EB3239F"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74</w:t>
                  </w:r>
                </w:p>
              </w:tc>
            </w:tr>
            <w:tr w:rsidR="00BF5443" w:rsidRPr="00FF23CE" w14:paraId="223B0643" w14:textId="77777777" w:rsidTr="00C4131E">
              <w:trPr>
                <w:trHeight w:hRule="exact" w:val="250"/>
              </w:trPr>
              <w:tc>
                <w:tcPr>
                  <w:tcW w:w="2590" w:type="dxa"/>
                  <w:noWrap/>
                  <w:hideMark/>
                </w:tcPr>
                <w:p w14:paraId="452BB108"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 xml:space="preserve">Asthma </w:t>
                  </w:r>
                </w:p>
              </w:tc>
              <w:tc>
                <w:tcPr>
                  <w:tcW w:w="1637" w:type="dxa"/>
                  <w:noWrap/>
                  <w:hideMark/>
                </w:tcPr>
                <w:p w14:paraId="38334717"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33</w:t>
                  </w:r>
                </w:p>
              </w:tc>
            </w:tr>
            <w:tr w:rsidR="00BF5443" w:rsidRPr="00FF23CE" w14:paraId="384AF1C1" w14:textId="77777777" w:rsidTr="00C4131E">
              <w:trPr>
                <w:trHeight w:hRule="exact" w:val="250"/>
              </w:trPr>
              <w:tc>
                <w:tcPr>
                  <w:tcW w:w="2590" w:type="dxa"/>
                  <w:noWrap/>
                  <w:hideMark/>
                </w:tcPr>
                <w:p w14:paraId="4D6C0810"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ILD</w:t>
                  </w:r>
                </w:p>
              </w:tc>
              <w:tc>
                <w:tcPr>
                  <w:tcW w:w="1637" w:type="dxa"/>
                  <w:noWrap/>
                  <w:hideMark/>
                </w:tcPr>
                <w:p w14:paraId="447E31D8"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28</w:t>
                  </w:r>
                </w:p>
              </w:tc>
            </w:tr>
            <w:tr w:rsidR="00BF5443" w:rsidRPr="00FF23CE" w14:paraId="43194939" w14:textId="77777777" w:rsidTr="00C4131E">
              <w:trPr>
                <w:trHeight w:hRule="exact" w:val="250"/>
              </w:trPr>
              <w:tc>
                <w:tcPr>
                  <w:tcW w:w="2590" w:type="dxa"/>
                  <w:noWrap/>
                  <w:hideMark/>
                </w:tcPr>
                <w:p w14:paraId="2E293B20"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Bronchiectasis</w:t>
                  </w:r>
                </w:p>
              </w:tc>
              <w:tc>
                <w:tcPr>
                  <w:tcW w:w="1637" w:type="dxa"/>
                  <w:noWrap/>
                  <w:hideMark/>
                </w:tcPr>
                <w:p w14:paraId="7ECE156F"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11</w:t>
                  </w:r>
                </w:p>
              </w:tc>
            </w:tr>
            <w:tr w:rsidR="00BF5443" w:rsidRPr="00FF23CE" w14:paraId="47A03E8A" w14:textId="77777777" w:rsidTr="00C4131E">
              <w:trPr>
                <w:trHeight w:hRule="exact" w:val="250"/>
              </w:trPr>
              <w:tc>
                <w:tcPr>
                  <w:tcW w:w="2590" w:type="dxa"/>
                  <w:noWrap/>
                  <w:hideMark/>
                </w:tcPr>
                <w:p w14:paraId="3C1AD9F6"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 xml:space="preserve">Sleep </w:t>
                  </w:r>
                </w:p>
              </w:tc>
              <w:tc>
                <w:tcPr>
                  <w:tcW w:w="1637" w:type="dxa"/>
                  <w:noWrap/>
                  <w:hideMark/>
                </w:tcPr>
                <w:p w14:paraId="6D288C6E"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9</w:t>
                  </w:r>
                </w:p>
              </w:tc>
            </w:tr>
            <w:tr w:rsidR="00BF5443" w:rsidRPr="00FF23CE" w14:paraId="2A2108F7" w14:textId="77777777" w:rsidTr="00C4131E">
              <w:trPr>
                <w:trHeight w:hRule="exact" w:val="250"/>
              </w:trPr>
              <w:tc>
                <w:tcPr>
                  <w:tcW w:w="2590" w:type="dxa"/>
                  <w:noWrap/>
                  <w:hideMark/>
                </w:tcPr>
                <w:p w14:paraId="698C013B"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Respiratory failure</w:t>
                  </w:r>
                </w:p>
              </w:tc>
              <w:tc>
                <w:tcPr>
                  <w:tcW w:w="1637" w:type="dxa"/>
                  <w:noWrap/>
                  <w:hideMark/>
                </w:tcPr>
                <w:p w14:paraId="3B18311D"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5</w:t>
                  </w:r>
                </w:p>
              </w:tc>
            </w:tr>
            <w:tr w:rsidR="00BF5443" w:rsidRPr="00FF23CE" w14:paraId="129D526F" w14:textId="77777777" w:rsidTr="00C4131E">
              <w:trPr>
                <w:trHeight w:hRule="exact" w:val="250"/>
              </w:trPr>
              <w:tc>
                <w:tcPr>
                  <w:tcW w:w="2590" w:type="dxa"/>
                  <w:noWrap/>
                  <w:hideMark/>
                </w:tcPr>
                <w:p w14:paraId="5061C6FE"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PE</w:t>
                  </w:r>
                </w:p>
              </w:tc>
              <w:tc>
                <w:tcPr>
                  <w:tcW w:w="1637" w:type="dxa"/>
                  <w:noWrap/>
                  <w:hideMark/>
                </w:tcPr>
                <w:p w14:paraId="521BE141"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2</w:t>
                  </w:r>
                </w:p>
              </w:tc>
            </w:tr>
            <w:tr w:rsidR="00BF5443" w:rsidRPr="00FF23CE" w14:paraId="4FCA0C64" w14:textId="77777777" w:rsidTr="00C4131E">
              <w:trPr>
                <w:trHeight w:hRule="exact" w:val="250"/>
              </w:trPr>
              <w:tc>
                <w:tcPr>
                  <w:tcW w:w="2590" w:type="dxa"/>
                  <w:noWrap/>
                  <w:hideMark/>
                </w:tcPr>
                <w:p w14:paraId="38701B4E"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 xml:space="preserve">Other </w:t>
                  </w:r>
                </w:p>
              </w:tc>
              <w:tc>
                <w:tcPr>
                  <w:tcW w:w="1637" w:type="dxa"/>
                  <w:noWrap/>
                  <w:hideMark/>
                </w:tcPr>
                <w:p w14:paraId="3FD454E8" w14:textId="77777777" w:rsidR="00BF5443" w:rsidRPr="00FF23CE" w:rsidRDefault="00BF5443" w:rsidP="00BF5443">
                  <w:pPr>
                    <w:jc w:val="center"/>
                    <w:rPr>
                      <w:rFonts w:ascii="Arial" w:hAnsi="Arial" w:cs="Arial"/>
                      <w:sz w:val="18"/>
                      <w:szCs w:val="18"/>
                    </w:rPr>
                  </w:pPr>
                  <w:r w:rsidRPr="00FF23CE">
                    <w:rPr>
                      <w:rFonts w:ascii="Arial" w:hAnsi="Arial" w:cs="Arial"/>
                      <w:sz w:val="18"/>
                      <w:szCs w:val="18"/>
                    </w:rPr>
                    <w:t>39</w:t>
                  </w:r>
                </w:p>
              </w:tc>
            </w:tr>
          </w:tbl>
          <w:p w14:paraId="154A3671" w14:textId="77777777" w:rsidR="00BF5443" w:rsidRPr="00FF23CE" w:rsidRDefault="00BF5443" w:rsidP="00BF5443">
            <w:pPr>
              <w:pStyle w:val="Default"/>
              <w:rPr>
                <w:sz w:val="22"/>
                <w:szCs w:val="22"/>
              </w:rPr>
            </w:pPr>
          </w:p>
          <w:p w14:paraId="5B1745EC" w14:textId="77777777" w:rsidR="00BF5443" w:rsidRPr="00FF23CE" w:rsidRDefault="00BF5443" w:rsidP="00BF5443">
            <w:pPr>
              <w:pStyle w:val="Default"/>
              <w:rPr>
                <w:sz w:val="22"/>
                <w:szCs w:val="22"/>
              </w:rPr>
            </w:pPr>
          </w:p>
          <w:p w14:paraId="26E24368" w14:textId="77777777" w:rsidR="00BF5443" w:rsidRPr="00FF23CE" w:rsidRDefault="00BF5443" w:rsidP="00BF5443">
            <w:pPr>
              <w:pStyle w:val="Default"/>
              <w:rPr>
                <w:sz w:val="22"/>
                <w:szCs w:val="22"/>
              </w:rPr>
            </w:pPr>
          </w:p>
          <w:p w14:paraId="5140A9FF" w14:textId="77777777" w:rsidR="00BF5443" w:rsidRPr="00FF23CE" w:rsidRDefault="00BF5443" w:rsidP="00BF5443">
            <w:pPr>
              <w:pStyle w:val="Default"/>
              <w:rPr>
                <w:sz w:val="22"/>
                <w:szCs w:val="22"/>
              </w:rPr>
            </w:pPr>
          </w:p>
          <w:p w14:paraId="38C684D6" w14:textId="77777777" w:rsidR="00BF5443" w:rsidRPr="00FF23CE" w:rsidRDefault="00BF5443" w:rsidP="00BF5443">
            <w:pPr>
              <w:pStyle w:val="Default"/>
              <w:rPr>
                <w:sz w:val="22"/>
                <w:szCs w:val="22"/>
              </w:rPr>
            </w:pPr>
          </w:p>
          <w:p w14:paraId="32E2E07B" w14:textId="77777777" w:rsidR="00BF5443" w:rsidRPr="00FF23CE" w:rsidRDefault="00BF5443" w:rsidP="00BF5443">
            <w:pPr>
              <w:pStyle w:val="Default"/>
              <w:rPr>
                <w:sz w:val="22"/>
                <w:szCs w:val="22"/>
              </w:rPr>
            </w:pPr>
          </w:p>
          <w:p w14:paraId="44CAA740" w14:textId="77777777" w:rsidR="00BF5443" w:rsidRPr="00FF23CE" w:rsidRDefault="00BF5443" w:rsidP="00BF5443">
            <w:pPr>
              <w:pStyle w:val="Default"/>
              <w:rPr>
                <w:sz w:val="22"/>
                <w:szCs w:val="22"/>
              </w:rPr>
            </w:pPr>
          </w:p>
          <w:p w14:paraId="2D7F108D" w14:textId="77777777" w:rsidR="00BF5443" w:rsidRPr="00FF23CE" w:rsidRDefault="00BF5443" w:rsidP="00BF5443">
            <w:pPr>
              <w:pStyle w:val="Default"/>
              <w:rPr>
                <w:sz w:val="22"/>
                <w:szCs w:val="22"/>
              </w:rPr>
            </w:pPr>
          </w:p>
          <w:p w14:paraId="5B5EC510" w14:textId="77777777" w:rsidR="00DE53CE" w:rsidRDefault="00DE53CE" w:rsidP="00BF5443">
            <w:pPr>
              <w:pStyle w:val="Pa12"/>
              <w:spacing w:line="240" w:lineRule="auto"/>
              <w:rPr>
                <w:iCs/>
                <w:sz w:val="22"/>
                <w:szCs w:val="22"/>
              </w:rPr>
            </w:pPr>
          </w:p>
          <w:p w14:paraId="65560C25" w14:textId="77777777" w:rsidR="00DE53CE" w:rsidRDefault="00DE53CE" w:rsidP="00BF5443">
            <w:pPr>
              <w:pStyle w:val="Pa12"/>
              <w:spacing w:line="240" w:lineRule="auto"/>
              <w:rPr>
                <w:iCs/>
                <w:sz w:val="22"/>
                <w:szCs w:val="22"/>
              </w:rPr>
            </w:pPr>
          </w:p>
          <w:p w14:paraId="3A771311" w14:textId="77777777" w:rsidR="00DE53CE" w:rsidRDefault="00DE53CE" w:rsidP="00BF5443">
            <w:pPr>
              <w:pStyle w:val="Pa12"/>
              <w:spacing w:line="240" w:lineRule="auto"/>
              <w:rPr>
                <w:iCs/>
                <w:sz w:val="22"/>
                <w:szCs w:val="22"/>
              </w:rPr>
            </w:pPr>
          </w:p>
          <w:p w14:paraId="0AD27DDD" w14:textId="77777777" w:rsidR="00DE53CE" w:rsidRDefault="00DE53CE" w:rsidP="00BF5443">
            <w:pPr>
              <w:pStyle w:val="Pa12"/>
              <w:spacing w:line="240" w:lineRule="auto"/>
              <w:rPr>
                <w:iCs/>
                <w:sz w:val="22"/>
                <w:szCs w:val="22"/>
              </w:rPr>
            </w:pPr>
          </w:p>
          <w:p w14:paraId="6EB8C6A5" w14:textId="77777777" w:rsidR="00DE53CE" w:rsidRDefault="00DE53CE" w:rsidP="00BF5443">
            <w:pPr>
              <w:pStyle w:val="Pa12"/>
              <w:spacing w:line="240" w:lineRule="auto"/>
              <w:rPr>
                <w:iCs/>
                <w:sz w:val="22"/>
                <w:szCs w:val="22"/>
              </w:rPr>
            </w:pPr>
          </w:p>
          <w:p w14:paraId="2308CF99" w14:textId="628A195A" w:rsidR="00BF5443" w:rsidRPr="00DE53CE" w:rsidRDefault="00BF5443" w:rsidP="00BF5443">
            <w:pPr>
              <w:pStyle w:val="Pa12"/>
              <w:spacing w:line="240" w:lineRule="auto"/>
              <w:rPr>
                <w:rStyle w:val="A4"/>
                <w:color w:val="auto"/>
              </w:rPr>
            </w:pPr>
            <w:r w:rsidRPr="00FF23CE">
              <w:rPr>
                <w:iCs/>
                <w:sz w:val="22"/>
                <w:szCs w:val="22"/>
              </w:rPr>
              <w:t>RRAS prevented 211 presentations to ED, saving 1245 ED hours. RRAS avoided 109 hospital admissions and facilitated 49 early discharges, equating to 554 occupied bed days saved. 122 urgent referrals, 60 interventional procedures and 40 MDM discussions were expedited via RRAS.</w:t>
            </w:r>
            <w:r w:rsidRPr="00FF23CE">
              <w:rPr>
                <w:sz w:val="22"/>
                <w:szCs w:val="22"/>
              </w:rPr>
              <w:t>100% of patients who used the service deemed RRAS an appropriate alternative to ED and 100% felt comfortable using RRAS again.</w:t>
            </w:r>
          </w:p>
          <w:p w14:paraId="2410E478" w14:textId="77777777" w:rsidR="00BF5443" w:rsidRPr="00FF23CE" w:rsidRDefault="00BF5443" w:rsidP="00BF5443">
            <w:pPr>
              <w:pStyle w:val="Pa12"/>
              <w:spacing w:line="240" w:lineRule="auto"/>
              <w:rPr>
                <w:b/>
                <w:bCs/>
                <w:color w:val="000000"/>
                <w:sz w:val="22"/>
                <w:szCs w:val="22"/>
              </w:rPr>
            </w:pPr>
            <w:r w:rsidRPr="00FF23CE">
              <w:rPr>
                <w:rStyle w:val="A4"/>
                <w:b/>
                <w:bCs/>
              </w:rPr>
              <w:t xml:space="preserve">Conclusion: </w:t>
            </w:r>
          </w:p>
          <w:p w14:paraId="371998CD" w14:textId="77777777" w:rsidR="00BF5443" w:rsidRPr="00FF23CE" w:rsidRDefault="00BF5443" w:rsidP="00BF5443">
            <w:pPr>
              <w:tabs>
                <w:tab w:val="num" w:pos="567"/>
              </w:tabs>
              <w:rPr>
                <w:rFonts w:ascii="Arial" w:hAnsi="Arial" w:cs="Arial"/>
                <w:iCs/>
                <w:sz w:val="22"/>
                <w:szCs w:val="22"/>
              </w:rPr>
            </w:pPr>
            <w:r w:rsidRPr="00FF23CE">
              <w:rPr>
                <w:rFonts w:ascii="Arial" w:hAnsi="Arial" w:cs="Arial"/>
                <w:iCs/>
                <w:sz w:val="22"/>
                <w:szCs w:val="22"/>
              </w:rPr>
              <w:t>The RRAS pilot successfully demonstrated prevention of ambulance calls, ED presentations, and hospital admissions with evidence of system level improvement through reduced inpatient separations and average length of stay. Expedited reviews optimised the delivery of urgent care plans, and reduced cancer time to diagnosis with coordinated and streamlined diagnostics.</w:t>
            </w:r>
          </w:p>
          <w:p w14:paraId="2A25444B" w14:textId="77777777" w:rsidR="00BF5443" w:rsidRDefault="00BF5443" w:rsidP="00BF5443">
            <w:pPr>
              <w:tabs>
                <w:tab w:val="num" w:pos="567"/>
              </w:tabs>
              <w:rPr>
                <w:rFonts w:ascii="Arial" w:hAnsi="Arial" w:cs="Arial"/>
                <w:iCs/>
                <w:sz w:val="22"/>
                <w:szCs w:val="22"/>
              </w:rPr>
            </w:pPr>
            <w:r w:rsidRPr="00FF23CE">
              <w:rPr>
                <w:rFonts w:ascii="Arial" w:hAnsi="Arial" w:cs="Arial"/>
                <w:iCs/>
                <w:sz w:val="22"/>
                <w:szCs w:val="22"/>
              </w:rPr>
              <w:t>We aim to expand the service to run in a full-time capacity, offering an increased number of medical and nursing reviews with direct support to ED and primary care physicians, ultimately streamlining future healthcare delivery.</w:t>
            </w:r>
          </w:p>
          <w:p w14:paraId="58278894" w14:textId="37782F80" w:rsidR="00BF5443" w:rsidRPr="00BF5443" w:rsidRDefault="00BF5443" w:rsidP="00BF5443">
            <w:pPr>
              <w:tabs>
                <w:tab w:val="num" w:pos="567"/>
              </w:tabs>
              <w:rPr>
                <w:rFonts w:ascii="Arial" w:hAnsi="Arial" w:cs="Arial"/>
                <w:iCs/>
                <w:sz w:val="22"/>
                <w:szCs w:val="22"/>
              </w:rPr>
            </w:pPr>
            <w:r w:rsidRPr="00FF23CE">
              <w:rPr>
                <w:rFonts w:ascii="Arial" w:hAnsi="Arial" w:cs="Arial"/>
                <w:sz w:val="22"/>
                <w:szCs w:val="22"/>
                <w:lang w:val="en-US" w:eastAsia="en-GB"/>
              </w:rPr>
              <w:br/>
            </w:r>
            <w:r w:rsidR="00ED5A36" w:rsidRPr="003D20D8">
              <w:rPr>
                <w:rFonts w:ascii="Arial" w:hAnsi="Arial" w:cs="Arial"/>
                <w:b/>
                <w:bCs/>
                <w:iCs/>
                <w:sz w:val="22"/>
                <w:szCs w:val="22"/>
              </w:rPr>
              <w:t>Grant</w:t>
            </w:r>
            <w:r w:rsidR="00071C7F" w:rsidRPr="003D20D8">
              <w:rPr>
                <w:rFonts w:ascii="Arial" w:hAnsi="Arial" w:cs="Arial"/>
                <w:b/>
                <w:bCs/>
                <w:iCs/>
                <w:sz w:val="22"/>
                <w:szCs w:val="22"/>
              </w:rPr>
              <w:t xml:space="preserve"> support:</w:t>
            </w:r>
            <w:r w:rsidR="00071C7F">
              <w:rPr>
                <w:rFonts w:ascii="Arial" w:hAnsi="Arial" w:cs="Arial"/>
                <w:iCs/>
                <w:sz w:val="22"/>
                <w:szCs w:val="22"/>
              </w:rPr>
              <w:t xml:space="preserve"> nil</w:t>
            </w:r>
          </w:p>
        </w:tc>
      </w:tr>
      <w:tr w:rsidR="00BF5443" w:rsidRPr="00FF23CE" w14:paraId="6DAF615A" w14:textId="77777777" w:rsidTr="00C4131E">
        <w:trPr>
          <w:trHeight w:hRule="exact" w:val="70"/>
          <w:jc w:val="center"/>
        </w:trPr>
        <w:tc>
          <w:tcPr>
            <w:tcW w:w="9707" w:type="dxa"/>
            <w:shd w:val="clear" w:color="auto" w:fill="auto"/>
          </w:tcPr>
          <w:p w14:paraId="5F58D34F" w14:textId="065D070B" w:rsidR="00BF5443" w:rsidRPr="00C4131E" w:rsidRDefault="00BF5443" w:rsidP="00C4131E">
            <w:pPr>
              <w:pStyle w:val="Pa12"/>
              <w:rPr>
                <w:bCs/>
                <w:color w:val="000000"/>
                <w:sz w:val="22"/>
                <w:szCs w:val="22"/>
              </w:rPr>
            </w:pP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r w:rsidRPr="00FF23CE">
              <w:rPr>
                <w:sz w:val="22"/>
                <w:szCs w:val="22"/>
                <w:lang w:val="en-US" w:eastAsia="en-GB"/>
              </w:rPr>
              <w:br/>
            </w:r>
          </w:p>
        </w:tc>
      </w:tr>
    </w:tbl>
    <w:p w14:paraId="7C36A9DC" w14:textId="32A70617" w:rsidR="00E0700F" w:rsidRPr="00FF23CE" w:rsidRDefault="00E0700F" w:rsidP="001564A4">
      <w:pPr>
        <w:rPr>
          <w:rFonts w:ascii="Arial" w:hAnsi="Arial" w:cs="Arial"/>
          <w:sz w:val="22"/>
          <w:szCs w:val="22"/>
        </w:rPr>
      </w:pPr>
    </w:p>
    <w:sectPr w:rsidR="00E0700F" w:rsidRPr="00FF23CE">
      <w:headerReference w:type="even" r:id="rId10"/>
      <w:footerReference w:type="even"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5457D3" w14:textId="77777777" w:rsidR="005E5129" w:rsidRDefault="005E5129" w:rsidP="00192873">
      <w:r>
        <w:separator/>
      </w:r>
    </w:p>
  </w:endnote>
  <w:endnote w:type="continuationSeparator" w:id="0">
    <w:p w14:paraId="34FB0C6C" w14:textId="77777777" w:rsidR="005E5129" w:rsidRDefault="005E5129" w:rsidP="001928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7A991" w14:textId="738BEBB5" w:rsidR="00192873" w:rsidRDefault="00192873">
    <w:pPr>
      <w:pStyle w:val="Footer"/>
    </w:pPr>
    <w:r>
      <w:rPr>
        <w:noProof/>
      </w:rPr>
      <mc:AlternateContent>
        <mc:Choice Requires="wps">
          <w:drawing>
            <wp:anchor distT="0" distB="0" distL="0" distR="0" simplePos="0" relativeHeight="251662336" behindDoc="0" locked="0" layoutInCell="1" allowOverlap="1" wp14:anchorId="59DE61A8" wp14:editId="63236608">
              <wp:simplePos x="635" y="635"/>
              <wp:positionH relativeFrom="page">
                <wp:align>center</wp:align>
              </wp:positionH>
              <wp:positionV relativeFrom="page">
                <wp:align>bottom</wp:align>
              </wp:positionV>
              <wp:extent cx="443865" cy="443865"/>
              <wp:effectExtent l="0" t="0" r="18415" b="0"/>
              <wp:wrapNone/>
              <wp:docPr id="5"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1159F1C" w14:textId="35859671"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DE61A8" id="_x0000_t202" coordsize="21600,21600" o:spt="202" path="m,l,21600r21600,l21600,xe">
              <v:stroke joinstyle="miter"/>
              <v:path gradientshapeok="t" o:connecttype="rect"/>
            </v:shapetype>
            <v:shape id="Text Box 5" o:spid="_x0000_s1027"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01159F1C" w14:textId="35859671"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DCFA" w14:textId="10E6620A" w:rsidR="00192873" w:rsidRDefault="00192873">
    <w:pPr>
      <w:pStyle w:val="Footer"/>
    </w:pPr>
    <w:r>
      <w:rPr>
        <w:noProof/>
      </w:rPr>
      <mc:AlternateContent>
        <mc:Choice Requires="wps">
          <w:drawing>
            <wp:anchor distT="0" distB="0" distL="0" distR="0" simplePos="0" relativeHeight="251661312" behindDoc="0" locked="0" layoutInCell="1" allowOverlap="1" wp14:anchorId="714BCDB5" wp14:editId="73E4C136">
              <wp:simplePos x="635" y="635"/>
              <wp:positionH relativeFrom="page">
                <wp:align>center</wp:align>
              </wp:positionH>
              <wp:positionV relativeFrom="page">
                <wp:align>bottom</wp:align>
              </wp:positionV>
              <wp:extent cx="443865" cy="443865"/>
              <wp:effectExtent l="0" t="0" r="18415" b="0"/>
              <wp:wrapNone/>
              <wp:docPr id="4" name="Text Box 4"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25E83" w14:textId="01D0954B"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4BCDB5" id="_x0000_t202" coordsize="21600,21600" o:spt="202" path="m,l,21600r21600,l21600,xe">
              <v:stroke joinstyle="miter"/>
              <v:path gradientshapeok="t" o:connecttype="rect"/>
            </v:shapetype>
            <v:shape id="Text Box 4" o:spid="_x0000_s1029"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D625E83" w14:textId="01D0954B"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C2B6B" w14:textId="77777777" w:rsidR="005E5129" w:rsidRDefault="005E5129" w:rsidP="00192873">
      <w:r>
        <w:separator/>
      </w:r>
    </w:p>
  </w:footnote>
  <w:footnote w:type="continuationSeparator" w:id="0">
    <w:p w14:paraId="3065C83F" w14:textId="77777777" w:rsidR="005E5129" w:rsidRDefault="005E5129" w:rsidP="001928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0310" w14:textId="6A7432AE" w:rsidR="00192873" w:rsidRDefault="00192873">
    <w:pPr>
      <w:pStyle w:val="Header"/>
    </w:pPr>
    <w:r>
      <w:rPr>
        <w:noProof/>
      </w:rPr>
      <mc:AlternateContent>
        <mc:Choice Requires="wps">
          <w:drawing>
            <wp:anchor distT="0" distB="0" distL="0" distR="0" simplePos="0" relativeHeight="251659264" behindDoc="0" locked="0" layoutInCell="1" allowOverlap="1" wp14:anchorId="06C93E77" wp14:editId="5CF3346E">
              <wp:simplePos x="635" y="635"/>
              <wp:positionH relativeFrom="page">
                <wp:align>center</wp:align>
              </wp:positionH>
              <wp:positionV relativeFrom="page">
                <wp:align>top</wp:align>
              </wp:positionV>
              <wp:extent cx="443865" cy="443865"/>
              <wp:effectExtent l="0" t="0" r="18415" b="15240"/>
              <wp:wrapNone/>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4A0A195" w14:textId="5163BF46"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C93E77" id="_x0000_t202" coordsize="21600,21600" o:spt="202" path="m,l,21600r21600,l21600,xe">
              <v:stroke joinstyle="miter"/>
              <v:path gradientshapeok="t" o:connecttype="rect"/>
            </v:shapetype>
            <v:shape id="Text Box 2"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74A0A195" w14:textId="5163BF46"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E82E3" w14:textId="5C9E3D0D" w:rsidR="00192873" w:rsidRDefault="00192873">
    <w:pPr>
      <w:pStyle w:val="Header"/>
    </w:pPr>
    <w:r>
      <w:rPr>
        <w:noProof/>
      </w:rPr>
      <mc:AlternateContent>
        <mc:Choice Requires="wps">
          <w:drawing>
            <wp:anchor distT="0" distB="0" distL="0" distR="0" simplePos="0" relativeHeight="251658240" behindDoc="0" locked="0" layoutInCell="1" allowOverlap="1" wp14:anchorId="3D98F530" wp14:editId="460E95E5">
              <wp:simplePos x="635" y="635"/>
              <wp:positionH relativeFrom="page">
                <wp:align>center</wp:align>
              </wp:positionH>
              <wp:positionV relativeFrom="page">
                <wp:align>top</wp:align>
              </wp:positionV>
              <wp:extent cx="443865" cy="443865"/>
              <wp:effectExtent l="0" t="0" r="18415" b="15240"/>
              <wp:wrapNone/>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F34F667" w14:textId="4DDD847D"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98F530" id="_x0000_t202" coordsize="21600,21600" o:spt="202" path="m,l,21600r21600,l21600,xe">
              <v:stroke joinstyle="miter"/>
              <v:path gradientshapeok="t" o:connecttype="rect"/>
            </v:shapetype>
            <v:shape id="Text Box 1" o:spid="_x0000_s1028"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1F34F667" w14:textId="4DDD847D" w:rsidR="00192873" w:rsidRPr="00192873" w:rsidRDefault="00192873" w:rsidP="00192873">
                    <w:pPr>
                      <w:rPr>
                        <w:rFonts w:ascii="Arial" w:eastAsia="Arial" w:hAnsi="Arial" w:cs="Arial"/>
                        <w:noProof/>
                        <w:color w:val="A80000"/>
                      </w:rPr>
                    </w:pPr>
                    <w:r w:rsidRPr="00192873">
                      <w:rPr>
                        <w:rFonts w:ascii="Arial" w:eastAsia="Arial" w:hAnsi="Arial" w:cs="Arial"/>
                        <w:noProof/>
                        <w:color w:val="A8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2E214C"/>
    <w:multiLevelType w:val="hybridMultilevel"/>
    <w:tmpl w:val="098C881C"/>
    <w:lvl w:ilvl="0" w:tplc="7822271A">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86551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63C40"/>
    <w:rsid w:val="00071C7F"/>
    <w:rsid w:val="00080C5D"/>
    <w:rsid w:val="000B3373"/>
    <w:rsid w:val="000E4F73"/>
    <w:rsid w:val="000E5C87"/>
    <w:rsid w:val="001266C2"/>
    <w:rsid w:val="00147E72"/>
    <w:rsid w:val="001564A4"/>
    <w:rsid w:val="00192873"/>
    <w:rsid w:val="001C380F"/>
    <w:rsid w:val="00254166"/>
    <w:rsid w:val="00254C2A"/>
    <w:rsid w:val="002A1C51"/>
    <w:rsid w:val="002D7E36"/>
    <w:rsid w:val="00356BCD"/>
    <w:rsid w:val="00394C09"/>
    <w:rsid w:val="003C4144"/>
    <w:rsid w:val="003D20D8"/>
    <w:rsid w:val="00431C4C"/>
    <w:rsid w:val="00483013"/>
    <w:rsid w:val="004D4EB1"/>
    <w:rsid w:val="0051574E"/>
    <w:rsid w:val="0056511B"/>
    <w:rsid w:val="005B245C"/>
    <w:rsid w:val="005D1FA3"/>
    <w:rsid w:val="005D285A"/>
    <w:rsid w:val="005E35A5"/>
    <w:rsid w:val="005E3E4C"/>
    <w:rsid w:val="005E5129"/>
    <w:rsid w:val="006121E3"/>
    <w:rsid w:val="00621AC1"/>
    <w:rsid w:val="00642A33"/>
    <w:rsid w:val="0065359D"/>
    <w:rsid w:val="006A0F26"/>
    <w:rsid w:val="006D3FEC"/>
    <w:rsid w:val="006F3C72"/>
    <w:rsid w:val="007269A9"/>
    <w:rsid w:val="00790BC4"/>
    <w:rsid w:val="0080752D"/>
    <w:rsid w:val="00846F93"/>
    <w:rsid w:val="008803FA"/>
    <w:rsid w:val="008B2925"/>
    <w:rsid w:val="00AF5948"/>
    <w:rsid w:val="00B12E32"/>
    <w:rsid w:val="00BF5443"/>
    <w:rsid w:val="00C25D43"/>
    <w:rsid w:val="00C4131E"/>
    <w:rsid w:val="00C5182D"/>
    <w:rsid w:val="00C66015"/>
    <w:rsid w:val="00C86F9E"/>
    <w:rsid w:val="00CC5EFA"/>
    <w:rsid w:val="00CD7880"/>
    <w:rsid w:val="00CF26D3"/>
    <w:rsid w:val="00D059F9"/>
    <w:rsid w:val="00D27E90"/>
    <w:rsid w:val="00D66A68"/>
    <w:rsid w:val="00D82686"/>
    <w:rsid w:val="00D9061B"/>
    <w:rsid w:val="00DC2F51"/>
    <w:rsid w:val="00DE53CE"/>
    <w:rsid w:val="00E0700F"/>
    <w:rsid w:val="00E1124B"/>
    <w:rsid w:val="00E620D8"/>
    <w:rsid w:val="00E65E49"/>
    <w:rsid w:val="00ED5A36"/>
    <w:rsid w:val="00F07CE4"/>
    <w:rsid w:val="00F5562D"/>
    <w:rsid w:val="00FA78D3"/>
    <w:rsid w:val="00FF23CE"/>
    <w:rsid w:val="00FF4A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paragraph" w:styleId="Header">
    <w:name w:val="header"/>
    <w:basedOn w:val="Normal"/>
    <w:link w:val="HeaderChar"/>
    <w:uiPriority w:val="99"/>
    <w:unhideWhenUsed/>
    <w:rsid w:val="00192873"/>
    <w:pPr>
      <w:tabs>
        <w:tab w:val="center" w:pos="4513"/>
        <w:tab w:val="right" w:pos="9026"/>
      </w:tabs>
    </w:pPr>
  </w:style>
  <w:style w:type="character" w:customStyle="1" w:styleId="HeaderChar">
    <w:name w:val="Header Char"/>
    <w:basedOn w:val="DefaultParagraphFont"/>
    <w:link w:val="Header"/>
    <w:uiPriority w:val="99"/>
    <w:rsid w:val="00192873"/>
    <w:rPr>
      <w:rFonts w:ascii="Times New Roman" w:eastAsia="Times New Roman" w:hAnsi="Times New Roman" w:cs="Times New Roman"/>
      <w:sz w:val="24"/>
      <w:szCs w:val="24"/>
      <w:lang w:val="en-GB"/>
    </w:rPr>
  </w:style>
  <w:style w:type="paragraph" w:styleId="Footer">
    <w:name w:val="footer"/>
    <w:basedOn w:val="Normal"/>
    <w:link w:val="FooterChar"/>
    <w:uiPriority w:val="99"/>
    <w:unhideWhenUsed/>
    <w:rsid w:val="00192873"/>
    <w:pPr>
      <w:tabs>
        <w:tab w:val="center" w:pos="4513"/>
        <w:tab w:val="right" w:pos="9026"/>
      </w:tabs>
    </w:pPr>
  </w:style>
  <w:style w:type="character" w:customStyle="1" w:styleId="FooterChar">
    <w:name w:val="Footer Char"/>
    <w:basedOn w:val="DefaultParagraphFont"/>
    <w:link w:val="Footer"/>
    <w:uiPriority w:val="99"/>
    <w:rsid w:val="00192873"/>
    <w:rPr>
      <w:rFonts w:ascii="Times New Roman" w:eastAsia="Times New Roman" w:hAnsi="Times New Roman" w:cs="Times New Roman"/>
      <w:sz w:val="24"/>
      <w:szCs w:val="24"/>
      <w:lang w:val="en-GB"/>
    </w:rPr>
  </w:style>
  <w:style w:type="table" w:styleId="TableGrid">
    <w:name w:val="Table Grid"/>
    <w:basedOn w:val="TableNormal"/>
    <w:uiPriority w:val="39"/>
    <w:rsid w:val="00D27E90"/>
    <w:rPr>
      <w:rFonts w:ascii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46F93"/>
    <w:rPr>
      <w:rFonts w:ascii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899239">
      <w:bodyDiv w:val="1"/>
      <w:marLeft w:val="0"/>
      <w:marRight w:val="0"/>
      <w:marTop w:val="0"/>
      <w:marBottom w:val="0"/>
      <w:divBdr>
        <w:top w:val="none" w:sz="0" w:space="0" w:color="auto"/>
        <w:left w:val="none" w:sz="0" w:space="0" w:color="auto"/>
        <w:bottom w:val="none" w:sz="0" w:space="0" w:color="auto"/>
        <w:right w:val="none" w:sz="0" w:space="0" w:color="auto"/>
      </w:divBdr>
    </w:div>
    <w:div w:id="1379627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7" ma:contentTypeDescription="Create a new document." ma:contentTypeScope="" ma:versionID="778b9c0417b177e5ab6c535dc7377d88">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be394e28ae68f14f8281989e71287a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8642D-6373-4036-996F-C4A2EA7516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C7D0F7-9D36-49A6-B504-6A025E2D928F}">
  <ds:schemaRefs>
    <ds:schemaRef ds:uri="http://schemas.microsoft.com/sharepoint/v3/contenttype/forms"/>
  </ds:schemaRefs>
</ds:datastoreItem>
</file>

<file path=customXml/itemProps3.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Lawton, Emily (Health)</cp:lastModifiedBy>
  <cp:revision>3</cp:revision>
  <dcterms:created xsi:type="dcterms:W3CDTF">2023-10-18T06:31:00Z</dcterms:created>
  <dcterms:modified xsi:type="dcterms:W3CDTF">2023-10-18T06:32:00Z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y fmtid="{D5CDD505-2E9C-101B-9397-08002B2CF9AE}" pid="4" name="ClassificationContentMarkingHeaderShapeIds">
    <vt:lpwstr>1,2,3</vt:lpwstr>
  </property>
  <property fmtid="{D5CDD505-2E9C-101B-9397-08002B2CF9AE}" pid="5" name="ClassificationContentMarkingHeaderFontProps">
    <vt:lpwstr>#a80000,12,Arial</vt:lpwstr>
  </property>
  <property fmtid="{D5CDD505-2E9C-101B-9397-08002B2CF9AE}" pid="6" name="ClassificationContentMarkingHeaderText">
    <vt:lpwstr>OFFICIAL</vt:lpwstr>
  </property>
  <property fmtid="{D5CDD505-2E9C-101B-9397-08002B2CF9AE}" pid="7" name="ClassificationContentMarkingFooterShapeIds">
    <vt:lpwstr>4,5,6</vt:lpwstr>
  </property>
  <property fmtid="{D5CDD505-2E9C-101B-9397-08002B2CF9AE}" pid="8" name="ClassificationContentMarkingFooterFontProps">
    <vt:lpwstr>#a80000,12,arial</vt:lpwstr>
  </property>
  <property fmtid="{D5CDD505-2E9C-101B-9397-08002B2CF9AE}" pid="9" name="ClassificationContentMarkingFooterText">
    <vt:lpwstr>OFFICIAL </vt:lpwstr>
  </property>
</Properties>
</file>