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8B3B" w14:textId="127DC4EC" w:rsidR="00732C78" w:rsidRDefault="00427BD8" w:rsidP="002156AB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Bile acid sequestration with c</w:t>
      </w:r>
      <w:r w:rsidR="00D03D9D" w:rsidRPr="002156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olesevelam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enhances</w:t>
      </w:r>
      <w:r w:rsidR="00D03D9D" w:rsidRPr="002156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GLP-1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secretion and improves glycaemic control in type 2 diabetes</w:t>
      </w:r>
    </w:p>
    <w:p w14:paraId="422DFE15" w14:textId="77777777" w:rsidR="002156AB" w:rsidRPr="002156AB" w:rsidRDefault="002156AB" w:rsidP="002156AB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5BDF079" w14:textId="77777777" w:rsidR="00D03D9D" w:rsidRPr="00281084" w:rsidRDefault="00D03D9D" w:rsidP="00FA069B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81084">
        <w:rPr>
          <w:rFonts w:ascii="Arial" w:hAnsi="Arial" w:cs="Arial"/>
          <w:b/>
          <w:bCs/>
          <w:color w:val="000000" w:themeColor="text1"/>
          <w:sz w:val="22"/>
          <w:szCs w:val="22"/>
        </w:rPr>
        <w:t>Aims</w:t>
      </w:r>
    </w:p>
    <w:p w14:paraId="2468DB9E" w14:textId="0576BB0B" w:rsidR="00D03D9D" w:rsidRPr="00FA069B" w:rsidRDefault="00427BD8" w:rsidP="00FA069B">
      <w:pPr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Intestinal b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 xml:space="preserve">ile acids (BAs) </w:t>
      </w:r>
      <w:proofErr w:type="gramStart"/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 xml:space="preserve">are </w:t>
      </w:r>
      <w:r>
        <w:rPr>
          <w:rFonts w:ascii="Arial" w:hAnsi="Arial" w:cs="Arial"/>
          <w:color w:val="000000" w:themeColor="text1"/>
          <w:sz w:val="22"/>
          <w:szCs w:val="22"/>
        </w:rPr>
        <w:t>capable of stimulating</w:t>
      </w:r>
      <w:proofErr w:type="gramEnd"/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the release of 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 xml:space="preserve">glucagon-like peptide-1 (GLP-1) to modulate glucose homeostasis.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While 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>augment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ing </w:t>
      </w:r>
      <w:r w:rsidR="007F47FB">
        <w:rPr>
          <w:rFonts w:ascii="Arial" w:hAnsi="Arial" w:cs="Arial"/>
          <w:color w:val="000000" w:themeColor="text1"/>
          <w:sz w:val="22"/>
          <w:szCs w:val="22"/>
        </w:rPr>
        <w:t>luminal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BAs increases GLP-1 secretion and lowers blood glucose,</w:t>
      </w:r>
      <w:r w:rsidR="00AA71EF" w:rsidRPr="00FA06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BA </w:t>
      </w:r>
      <w:r w:rsidR="00AA71EF">
        <w:rPr>
          <w:rFonts w:ascii="Arial" w:hAnsi="Arial" w:cs="Arial"/>
          <w:color w:val="000000" w:themeColor="text1"/>
          <w:sz w:val="22"/>
          <w:szCs w:val="22"/>
        </w:rPr>
        <w:t>depleti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on </w:t>
      </w:r>
      <w:r w:rsidR="007F47FB">
        <w:rPr>
          <w:rFonts w:ascii="Arial" w:hAnsi="Arial" w:cs="Arial"/>
          <w:color w:val="000000" w:themeColor="text1"/>
          <w:sz w:val="22"/>
          <w:szCs w:val="22"/>
        </w:rPr>
        <w:t>using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A71EF" w:rsidRPr="00FA069B">
        <w:rPr>
          <w:rFonts w:ascii="Arial" w:hAnsi="Arial" w:cs="Arial"/>
          <w:color w:val="000000" w:themeColor="text1"/>
          <w:sz w:val="22"/>
          <w:szCs w:val="22"/>
        </w:rPr>
        <w:t>BA sequestrant</w:t>
      </w:r>
      <w:r w:rsidR="007F47FB">
        <w:rPr>
          <w:rFonts w:ascii="Arial" w:hAnsi="Arial" w:cs="Arial"/>
          <w:color w:val="000000" w:themeColor="text1"/>
          <w:sz w:val="22"/>
          <w:szCs w:val="22"/>
        </w:rPr>
        <w:t>s</w:t>
      </w:r>
      <w:r w:rsidR="00AA71EF" w:rsidRPr="00FA06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F47FB">
        <w:rPr>
          <w:rFonts w:ascii="Arial" w:hAnsi="Arial" w:cs="Arial"/>
          <w:color w:val="000000" w:themeColor="text1"/>
          <w:sz w:val="22"/>
          <w:szCs w:val="22"/>
        </w:rPr>
        <w:t>(</w:t>
      </w:r>
      <w:r w:rsidR="00AA71EF" w:rsidRPr="00FA069B">
        <w:rPr>
          <w:rFonts w:ascii="Arial" w:hAnsi="Arial" w:cs="Arial"/>
          <w:color w:val="000000" w:themeColor="text1"/>
          <w:sz w:val="22"/>
          <w:szCs w:val="22"/>
        </w:rPr>
        <w:t xml:space="preserve">e.g. colesevelam) </w:t>
      </w:r>
      <w:r w:rsidR="007F47FB">
        <w:rPr>
          <w:rFonts w:ascii="Arial" w:hAnsi="Arial" w:cs="Arial"/>
          <w:color w:val="000000" w:themeColor="text1"/>
          <w:sz w:val="22"/>
          <w:szCs w:val="22"/>
        </w:rPr>
        <w:t>achieves similar benefits within 1-12 weeks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 xml:space="preserve"> in type 2 diabetes (T2D)</w:t>
      </w:r>
      <w:r w:rsidR="00D03D9D" w:rsidRPr="00FA069B">
        <w:rPr>
          <w:rFonts w:ascii="Arial" w:hAnsi="Arial" w:cs="Arial" w:hint="eastAsia"/>
          <w:color w:val="000000" w:themeColor="text1"/>
          <w:sz w:val="22"/>
          <w:szCs w:val="22"/>
        </w:rPr>
        <w:t>.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 xml:space="preserve"> Th</w:t>
      </w:r>
      <w:r w:rsidR="007F47FB">
        <w:rPr>
          <w:rFonts w:ascii="Arial" w:hAnsi="Arial" w:cs="Arial"/>
          <w:color w:val="000000" w:themeColor="text1"/>
          <w:sz w:val="22"/>
          <w:szCs w:val="22"/>
        </w:rPr>
        <w:t xml:space="preserve">e latter phenomenon may reflect </w:t>
      </w:r>
      <w:r w:rsidR="000167F2">
        <w:rPr>
          <w:rFonts w:ascii="Arial" w:hAnsi="Arial" w:cs="Arial"/>
          <w:color w:val="000000" w:themeColor="text1"/>
          <w:sz w:val="22"/>
          <w:szCs w:val="22"/>
        </w:rPr>
        <w:t xml:space="preserve">changes </w:t>
      </w:r>
      <w:r w:rsidR="007F47FB">
        <w:rPr>
          <w:rFonts w:ascii="Arial" w:hAnsi="Arial" w:cs="Arial"/>
          <w:color w:val="000000" w:themeColor="text1"/>
          <w:sz w:val="22"/>
          <w:szCs w:val="22"/>
        </w:rPr>
        <w:t>in intestinal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F47FB" w:rsidRPr="00FA069B">
        <w:rPr>
          <w:rFonts w:ascii="Arial" w:hAnsi="Arial" w:cs="Arial"/>
          <w:color w:val="000000" w:themeColor="text1"/>
          <w:sz w:val="22"/>
          <w:szCs w:val="22"/>
        </w:rPr>
        <w:t xml:space="preserve">sensitivity to </w:t>
      </w:r>
      <w:r w:rsidR="007F47FB">
        <w:rPr>
          <w:rFonts w:ascii="Arial" w:hAnsi="Arial" w:cs="Arial"/>
          <w:color w:val="000000" w:themeColor="text1"/>
          <w:sz w:val="22"/>
          <w:szCs w:val="22"/>
        </w:rPr>
        <w:t xml:space="preserve">luminal </w:t>
      </w:r>
      <w:r w:rsidR="007F47FB" w:rsidRPr="00FA069B">
        <w:rPr>
          <w:rFonts w:ascii="Arial" w:hAnsi="Arial" w:cs="Arial"/>
          <w:color w:val="000000" w:themeColor="text1"/>
          <w:sz w:val="22"/>
          <w:szCs w:val="22"/>
        </w:rPr>
        <w:t>BAs</w:t>
      </w:r>
      <w:r w:rsidR="007F47FB">
        <w:rPr>
          <w:rFonts w:ascii="Arial" w:hAnsi="Arial" w:cs="Arial"/>
          <w:color w:val="000000" w:themeColor="text1"/>
          <w:sz w:val="22"/>
          <w:szCs w:val="22"/>
        </w:rPr>
        <w:t xml:space="preserve"> and/or nutrients.</w:t>
      </w:r>
      <w:r w:rsidR="007F47FB" w:rsidRPr="00FA06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F47FB">
        <w:rPr>
          <w:rFonts w:ascii="Arial" w:hAnsi="Arial" w:cs="Arial"/>
          <w:color w:val="000000" w:themeColor="text1"/>
          <w:sz w:val="22"/>
          <w:szCs w:val="22"/>
        </w:rPr>
        <w:t xml:space="preserve">Accordingly, </w:t>
      </w:r>
      <w:r w:rsidR="000167F2">
        <w:rPr>
          <w:rFonts w:ascii="Arial" w:hAnsi="Arial" w:cs="Arial"/>
          <w:color w:val="000000" w:themeColor="text1"/>
          <w:sz w:val="22"/>
          <w:szCs w:val="22"/>
        </w:rPr>
        <w:t>we</w:t>
      </w:r>
      <w:r w:rsidR="007F47FB">
        <w:rPr>
          <w:rFonts w:ascii="Arial" w:hAnsi="Arial" w:cs="Arial"/>
          <w:color w:val="000000" w:themeColor="text1"/>
          <w:sz w:val="22"/>
          <w:szCs w:val="22"/>
        </w:rPr>
        <w:t xml:space="preserve"> evaluated the effects of 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>two</w:t>
      </w:r>
      <w:r w:rsidR="007F47F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>week</w:t>
      </w:r>
      <w:r w:rsidR="007F47FB">
        <w:rPr>
          <w:rFonts w:ascii="Arial" w:hAnsi="Arial" w:cs="Arial"/>
          <w:color w:val="000000" w:themeColor="text1"/>
          <w:sz w:val="22"/>
          <w:szCs w:val="22"/>
        </w:rPr>
        <w:t>s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 xml:space="preserve"> treatment with colesevelam </w:t>
      </w:r>
      <w:r w:rsidR="007F47FB">
        <w:rPr>
          <w:rFonts w:ascii="Arial" w:hAnsi="Arial" w:cs="Arial"/>
          <w:color w:val="000000" w:themeColor="text1"/>
          <w:sz w:val="22"/>
          <w:szCs w:val="22"/>
        </w:rPr>
        <w:t xml:space="preserve">on 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>GLP-1</w:t>
      </w:r>
      <w:r w:rsidR="007F47FB">
        <w:rPr>
          <w:rFonts w:ascii="Arial" w:hAnsi="Arial" w:cs="Arial"/>
          <w:color w:val="000000" w:themeColor="text1"/>
          <w:sz w:val="22"/>
          <w:szCs w:val="22"/>
        </w:rPr>
        <w:t xml:space="preserve">, insulin and </w:t>
      </w:r>
      <w:r w:rsidR="000167F2">
        <w:rPr>
          <w:rFonts w:ascii="Arial" w:hAnsi="Arial" w:cs="Arial"/>
          <w:color w:val="000000" w:themeColor="text1"/>
          <w:sz w:val="22"/>
          <w:szCs w:val="22"/>
        </w:rPr>
        <w:t>plasma glucose</w:t>
      </w:r>
      <w:r w:rsidR="000167F2" w:rsidRPr="00FA06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>response</w:t>
      </w:r>
      <w:r w:rsidR="007F47FB">
        <w:rPr>
          <w:rFonts w:ascii="Arial" w:hAnsi="Arial" w:cs="Arial"/>
          <w:color w:val="000000" w:themeColor="text1"/>
          <w:sz w:val="22"/>
          <w:szCs w:val="22"/>
        </w:rPr>
        <w:t>s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 xml:space="preserve"> to </w:t>
      </w:r>
      <w:r w:rsidR="007F47FB">
        <w:rPr>
          <w:rFonts w:ascii="Arial" w:hAnsi="Arial" w:cs="Arial"/>
          <w:color w:val="000000" w:themeColor="text1"/>
          <w:sz w:val="22"/>
          <w:szCs w:val="22"/>
        </w:rPr>
        <w:t xml:space="preserve">small intestinal 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 xml:space="preserve">BA </w:t>
      </w:r>
      <w:r w:rsidR="007F47FB">
        <w:rPr>
          <w:rFonts w:ascii="Arial" w:hAnsi="Arial" w:cs="Arial"/>
          <w:color w:val="000000" w:themeColor="text1"/>
          <w:sz w:val="22"/>
          <w:szCs w:val="22"/>
        </w:rPr>
        <w:t xml:space="preserve">and glucose 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>infusion in T2D.</w:t>
      </w:r>
    </w:p>
    <w:p w14:paraId="1E872724" w14:textId="77777777" w:rsidR="00ED0FFB" w:rsidRDefault="00ED0FFB" w:rsidP="00FA069B">
      <w:pPr>
        <w:spacing w:after="0" w:line="240" w:lineRule="auto"/>
        <w:jc w:val="both"/>
      </w:pPr>
    </w:p>
    <w:p w14:paraId="564DA14A" w14:textId="77777777" w:rsidR="00D03D9D" w:rsidRPr="00281084" w:rsidRDefault="00D03D9D" w:rsidP="00FA069B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81084">
        <w:rPr>
          <w:rFonts w:ascii="Arial" w:hAnsi="Arial" w:cs="Arial"/>
          <w:b/>
          <w:bCs/>
          <w:color w:val="000000" w:themeColor="text1"/>
          <w:sz w:val="22"/>
          <w:szCs w:val="22"/>
        </w:rPr>
        <w:t>Methods</w:t>
      </w:r>
    </w:p>
    <w:p w14:paraId="32ACDF7C" w14:textId="1CF905EF" w:rsidR="00D03D9D" w:rsidRPr="00FA069B" w:rsidRDefault="000A43E3" w:rsidP="00FA069B">
      <w:pPr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Eleven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03D9D" w:rsidRPr="00FA069B">
        <w:rPr>
          <w:rFonts w:ascii="Arial" w:hAnsi="Arial" w:cs="Arial" w:hint="eastAsia"/>
          <w:color w:val="000000" w:themeColor="text1"/>
          <w:sz w:val="22"/>
          <w:szCs w:val="22"/>
        </w:rPr>
        <w:t>T2D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211B1" w:rsidRPr="00FA069B">
        <w:rPr>
          <w:rFonts w:ascii="Arial" w:hAnsi="Arial" w:cs="Arial"/>
          <w:color w:val="000000" w:themeColor="text1"/>
          <w:sz w:val="22"/>
          <w:szCs w:val="22"/>
        </w:rPr>
        <w:t>participants</w:t>
      </w:r>
      <w:r w:rsidR="00F211B1" w:rsidRPr="00FA069B">
        <w:rPr>
          <w:rFonts w:ascii="Arial" w:hAnsi="Arial" w:cs="Arial" w:hint="eastAsia"/>
          <w:color w:val="000000" w:themeColor="text1"/>
          <w:sz w:val="22"/>
          <w:szCs w:val="22"/>
        </w:rPr>
        <w:t xml:space="preserve"> 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>(7</w:t>
      </w:r>
      <w:r w:rsidR="009E715C">
        <w:rPr>
          <w:rFonts w:ascii="Arial" w:hAnsi="Arial" w:cs="Arial"/>
          <w:color w:val="000000" w:themeColor="text1"/>
          <w:sz w:val="22"/>
          <w:szCs w:val="22"/>
        </w:rPr>
        <w:t xml:space="preserve"> male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>age</w:t>
      </w:r>
      <w:proofErr w:type="spellEnd"/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 xml:space="preserve"> 70.0±2.0years, BMI 29.6±0.8kg/m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 xml:space="preserve">, HbA1c 6.6±0.2%), managed by diet or metformin monotherapy (metformin withheld for ≥2 weeks prior), </w:t>
      </w:r>
      <w:r w:rsidR="00D03D9D" w:rsidRPr="00FA069B">
        <w:rPr>
          <w:rFonts w:ascii="Arial" w:hAnsi="Arial" w:cs="Arial" w:hint="eastAsia"/>
          <w:color w:val="000000" w:themeColor="text1"/>
          <w:sz w:val="22"/>
          <w:szCs w:val="22"/>
        </w:rPr>
        <w:t>received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03D9D" w:rsidRPr="00FA069B">
        <w:rPr>
          <w:rFonts w:ascii="Arial" w:hAnsi="Arial" w:cs="Arial" w:hint="eastAsia"/>
          <w:color w:val="000000" w:themeColor="text1"/>
          <w:sz w:val="22"/>
          <w:szCs w:val="22"/>
        </w:rPr>
        <w:t>c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>olesevelam (3.75g</w:t>
      </w:r>
      <w:r w:rsidR="00F211B1">
        <w:rPr>
          <w:rFonts w:ascii="Arial" w:hAnsi="Arial" w:cs="Arial"/>
          <w:color w:val="000000" w:themeColor="text1"/>
          <w:sz w:val="22"/>
          <w:szCs w:val="22"/>
        </w:rPr>
        <w:t>/day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>) or placebo (cellulose)</w:t>
      </w:r>
      <w:r w:rsidR="00D03D9D" w:rsidRPr="00FA069B">
        <w:rPr>
          <w:rFonts w:ascii="Arial" w:hAnsi="Arial" w:cs="Arial" w:hint="eastAsia"/>
          <w:color w:val="000000" w:themeColor="text1"/>
          <w:sz w:val="22"/>
          <w:szCs w:val="22"/>
        </w:rPr>
        <w:t xml:space="preserve">, 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>each for 14 days, in a double-blind, randomised, crossover design, with a 2-week ‘washout’</w:t>
      </w:r>
      <w:r w:rsidR="00D03D9D" w:rsidRPr="00FA069B">
        <w:rPr>
          <w:rFonts w:ascii="Arial" w:hAnsi="Arial" w:cs="Arial" w:hint="eastAsia"/>
          <w:color w:val="000000" w:themeColor="text1"/>
          <w:sz w:val="22"/>
          <w:szCs w:val="22"/>
        </w:rPr>
        <w:t xml:space="preserve"> 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 xml:space="preserve">between treatments. </w:t>
      </w:r>
      <w:r w:rsidR="00FA069B">
        <w:rPr>
          <w:rFonts w:ascii="Arial" w:hAnsi="Arial" w:cs="Arial"/>
          <w:color w:val="000000" w:themeColor="text1"/>
          <w:sz w:val="22"/>
          <w:szCs w:val="22"/>
        </w:rPr>
        <w:t>Before and after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 xml:space="preserve"> each treatment period, a </w:t>
      </w:r>
      <w:proofErr w:type="spellStart"/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>naso</w:t>
      </w:r>
      <w:proofErr w:type="spellEnd"/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>-jejunal catheter</w:t>
      </w:r>
      <w:r w:rsidR="00D03D9D" w:rsidRPr="00FA069B">
        <w:rPr>
          <w:rFonts w:ascii="Arial" w:hAnsi="Arial" w:cs="Arial" w:hint="eastAsia"/>
          <w:color w:val="000000" w:themeColor="text1"/>
          <w:sz w:val="22"/>
          <w:szCs w:val="22"/>
        </w:rPr>
        <w:t>,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 xml:space="preserve"> incorporating a balloon 30cm beyond the pylorus to exclude endogenous bile, was positioned</w:t>
      </w:r>
      <w:r w:rsidR="003F21C2">
        <w:rPr>
          <w:rFonts w:ascii="Arial" w:hAnsi="Arial" w:cs="Arial"/>
          <w:color w:val="000000" w:themeColor="text1"/>
          <w:sz w:val="22"/>
          <w:szCs w:val="22"/>
        </w:rPr>
        <w:t xml:space="preserve"> after an overnight fast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>. Taurocholic acid (TCA) 2g was infused into the jejunum (t=0-30min), followed by an additional 2g TCA mixed with 45g glucose (t=30-120min</w:t>
      </w:r>
      <w:r w:rsidR="00FA069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>i.e.</w:t>
      </w:r>
      <w:r w:rsidR="00FA06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>2kcal/min). Venous blood was sampled frequently for measurements of plasma glucose, insulin, C-peptide and GLP-1 concentrations.</w:t>
      </w:r>
      <w:r w:rsidR="00D03D9D" w:rsidRPr="00FA069B">
        <w:rPr>
          <w:rFonts w:ascii="Arial" w:hAnsi="Arial" w:cs="Arial" w:hint="eastAsia"/>
          <w:color w:val="000000" w:themeColor="text1"/>
          <w:sz w:val="22"/>
          <w:szCs w:val="22"/>
        </w:rPr>
        <w:t xml:space="preserve"> </w:t>
      </w:r>
      <w:r w:rsidR="00F211B1">
        <w:rPr>
          <w:rFonts w:ascii="Arial" w:hAnsi="Arial" w:cs="Arial"/>
          <w:color w:val="000000" w:themeColor="text1"/>
          <w:sz w:val="22"/>
          <w:szCs w:val="22"/>
        </w:rPr>
        <w:t>I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 xml:space="preserve">nsulin sensitivity was assessed </w:t>
      </w:r>
      <w:r w:rsidR="009E715C">
        <w:rPr>
          <w:rFonts w:ascii="Arial" w:hAnsi="Arial" w:cs="Arial"/>
          <w:color w:val="000000" w:themeColor="text1"/>
          <w:sz w:val="22"/>
          <w:szCs w:val="22"/>
        </w:rPr>
        <w:t>using</w:t>
      </w:r>
      <w:r w:rsidR="009E715C" w:rsidRPr="00FA06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E715C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D03D9D" w:rsidRPr="00FA069B">
        <w:rPr>
          <w:rFonts w:ascii="Arial" w:hAnsi="Arial" w:cs="Arial"/>
          <w:color w:val="000000" w:themeColor="text1"/>
          <w:sz w:val="22"/>
          <w:szCs w:val="22"/>
        </w:rPr>
        <w:t xml:space="preserve">Matsuda index. </w:t>
      </w:r>
    </w:p>
    <w:p w14:paraId="7892373D" w14:textId="77777777" w:rsidR="00ED0FFB" w:rsidRPr="00FD53AE" w:rsidRDefault="00ED0FFB" w:rsidP="00FA069B">
      <w:pPr>
        <w:spacing w:after="0" w:line="240" w:lineRule="auto"/>
        <w:jc w:val="both"/>
      </w:pPr>
    </w:p>
    <w:p w14:paraId="5AB8E47B" w14:textId="77777777" w:rsidR="00D03D9D" w:rsidRDefault="00D03D9D" w:rsidP="00FA069B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81084">
        <w:rPr>
          <w:rFonts w:ascii="Arial" w:hAnsi="Arial" w:cs="Arial"/>
          <w:b/>
          <w:bCs/>
          <w:color w:val="000000" w:themeColor="text1"/>
          <w:sz w:val="22"/>
          <w:szCs w:val="22"/>
        </w:rPr>
        <w:t>Results</w:t>
      </w:r>
    </w:p>
    <w:p w14:paraId="694541DE" w14:textId="3E3CA381" w:rsidR="00D03D9D" w:rsidRPr="00D03D9D" w:rsidRDefault="00DE265F" w:rsidP="00FA069B">
      <w:pPr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Compared with control, t</w:t>
      </w:r>
      <w:r w:rsidRPr="00D03D9D">
        <w:rPr>
          <w:rFonts w:ascii="Arial" w:hAnsi="Arial" w:cs="Arial"/>
          <w:color w:val="000000" w:themeColor="text1"/>
          <w:sz w:val="22"/>
          <w:szCs w:val="22"/>
        </w:rPr>
        <w:t>wo weeks treatment of colesevelam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augmented plasma GLP-1 concentrations by </w:t>
      </w:r>
      <w:r w:rsidR="0014143C">
        <w:rPr>
          <w:rFonts w:ascii="Arial" w:hAnsi="Arial" w:cs="Arial"/>
          <w:color w:val="000000" w:themeColor="text1"/>
          <w:sz w:val="22"/>
          <w:szCs w:val="22"/>
        </w:rPr>
        <w:t>76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% </w:t>
      </w:r>
      <w:r w:rsidRPr="00D03D9D">
        <w:rPr>
          <w:rFonts w:ascii="Arial" w:hAnsi="Arial" w:cs="Arial"/>
          <w:color w:val="000000" w:themeColor="text1"/>
          <w:sz w:val="22"/>
          <w:szCs w:val="22"/>
        </w:rPr>
        <w:t>(p</w:t>
      </w:r>
      <w:r w:rsidR="00831D33">
        <w:rPr>
          <w:rFonts w:ascii="Arial" w:hAnsi="Arial" w:cs="Arial"/>
          <w:color w:val="000000" w:themeColor="text1"/>
          <w:sz w:val="22"/>
          <w:szCs w:val="22"/>
        </w:rPr>
        <w:t>=0.024</w:t>
      </w:r>
      <w:r w:rsidRPr="00D03D9D">
        <w:rPr>
          <w:rFonts w:ascii="Arial" w:hAnsi="Arial" w:cs="Arial"/>
          <w:color w:val="000000" w:themeColor="text1"/>
          <w:sz w:val="22"/>
          <w:szCs w:val="22"/>
        </w:rPr>
        <w:t>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Pr="00D03D9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lowered the</w:t>
      </w:r>
      <w:r w:rsidR="00D03D9D">
        <w:rPr>
          <w:rFonts w:ascii="Arial" w:hAnsi="Arial" w:cs="Arial"/>
          <w:color w:val="000000" w:themeColor="text1"/>
          <w:sz w:val="22"/>
          <w:szCs w:val="22"/>
        </w:rPr>
        <w:t xml:space="preserve"> glycaemic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excursion by </w:t>
      </w:r>
      <w:r w:rsidR="0042673E">
        <w:rPr>
          <w:rFonts w:ascii="Arial" w:hAnsi="Arial" w:cs="Arial"/>
          <w:color w:val="000000" w:themeColor="text1"/>
          <w:sz w:val="22"/>
          <w:szCs w:val="22"/>
        </w:rPr>
        <w:t>2</w:t>
      </w:r>
      <w:r w:rsidR="0014143C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% </w:t>
      </w:r>
      <w:r w:rsidRPr="00D03D9D">
        <w:rPr>
          <w:rFonts w:ascii="Arial" w:hAnsi="Arial" w:cs="Arial"/>
          <w:color w:val="000000" w:themeColor="text1"/>
          <w:sz w:val="22"/>
          <w:szCs w:val="22"/>
        </w:rPr>
        <w:t>(p</w:t>
      </w:r>
      <w:r w:rsidR="0042673E">
        <w:rPr>
          <w:rFonts w:ascii="Arial" w:hAnsi="Arial" w:cs="Arial"/>
          <w:color w:val="000000" w:themeColor="text1"/>
          <w:sz w:val="22"/>
          <w:szCs w:val="22"/>
        </w:rPr>
        <w:t>=</w:t>
      </w:r>
      <w:r w:rsidRPr="00D03D9D">
        <w:rPr>
          <w:rFonts w:ascii="Arial" w:hAnsi="Arial" w:cs="Arial"/>
          <w:color w:val="000000" w:themeColor="text1"/>
          <w:sz w:val="22"/>
          <w:szCs w:val="22"/>
        </w:rPr>
        <w:t>0.0</w:t>
      </w:r>
      <w:r w:rsidR="00831D33">
        <w:rPr>
          <w:rFonts w:ascii="Arial" w:hAnsi="Arial" w:cs="Arial"/>
          <w:color w:val="000000" w:themeColor="text1"/>
          <w:sz w:val="22"/>
          <w:szCs w:val="22"/>
        </w:rPr>
        <w:t>37</w:t>
      </w:r>
      <w:r w:rsidRPr="00D03D9D">
        <w:rPr>
          <w:rFonts w:ascii="Arial" w:hAnsi="Arial" w:cs="Arial"/>
          <w:color w:val="000000" w:themeColor="text1"/>
          <w:sz w:val="22"/>
          <w:szCs w:val="22"/>
        </w:rPr>
        <w:t>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in response </w:t>
      </w:r>
      <w:r w:rsidR="00D03D9D">
        <w:rPr>
          <w:rFonts w:ascii="Arial" w:hAnsi="Arial" w:cs="Arial"/>
          <w:color w:val="000000" w:themeColor="text1"/>
          <w:sz w:val="22"/>
          <w:szCs w:val="22"/>
        </w:rPr>
        <w:t xml:space="preserve">to jejunal </w:t>
      </w:r>
      <w:r w:rsidR="003F21C2">
        <w:rPr>
          <w:rFonts w:ascii="Arial" w:hAnsi="Arial" w:cs="Arial"/>
          <w:color w:val="000000" w:themeColor="text1"/>
          <w:sz w:val="22"/>
          <w:szCs w:val="22"/>
        </w:rPr>
        <w:t xml:space="preserve">TCA and </w:t>
      </w:r>
      <w:r w:rsidR="00D03D9D">
        <w:rPr>
          <w:rFonts w:ascii="Arial" w:hAnsi="Arial" w:cs="Arial"/>
          <w:color w:val="000000" w:themeColor="text1"/>
          <w:sz w:val="22"/>
          <w:szCs w:val="22"/>
        </w:rPr>
        <w:t>glucose</w:t>
      </w:r>
      <w:r w:rsidR="00D03D9D" w:rsidRPr="00D03D9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Although neither colesevelam nor placebo affected p</w:t>
      </w:r>
      <w:r w:rsidR="00ED0FFB">
        <w:rPr>
          <w:rFonts w:ascii="Arial" w:hAnsi="Arial" w:cs="Arial"/>
          <w:color w:val="000000" w:themeColor="text1"/>
          <w:sz w:val="22"/>
          <w:szCs w:val="22"/>
        </w:rPr>
        <w:t xml:space="preserve">lasma insulin and C-peptide </w:t>
      </w:r>
      <w:r w:rsidR="00ED0FFB">
        <w:rPr>
          <w:rFonts w:ascii="Arial" w:hAnsi="Arial" w:cs="Arial" w:hint="eastAsia"/>
          <w:color w:val="000000" w:themeColor="text1"/>
          <w:sz w:val="22"/>
          <w:szCs w:val="22"/>
        </w:rPr>
        <w:t>levels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="00ED0FF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0FFB" w:rsidRPr="00D03D9D">
        <w:rPr>
          <w:rFonts w:ascii="Arial" w:hAnsi="Arial" w:cs="Arial"/>
          <w:color w:val="000000" w:themeColor="text1"/>
          <w:sz w:val="22"/>
          <w:szCs w:val="22"/>
        </w:rPr>
        <w:t>colesevelam</w:t>
      </w:r>
      <w:r w:rsidR="00ED0FFB" w:rsidRPr="00ED0FF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0FFB" w:rsidRPr="00D03D9D">
        <w:rPr>
          <w:rFonts w:ascii="Arial" w:hAnsi="Arial" w:cs="Arial"/>
          <w:color w:val="000000" w:themeColor="text1"/>
          <w:sz w:val="22"/>
          <w:szCs w:val="22"/>
        </w:rPr>
        <w:t xml:space="preserve">increased </w:t>
      </w:r>
      <w:r w:rsidR="00613688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ED0FFB" w:rsidRPr="00D03D9D">
        <w:rPr>
          <w:rFonts w:ascii="Arial" w:hAnsi="Arial" w:cs="Arial"/>
          <w:color w:val="000000" w:themeColor="text1"/>
          <w:sz w:val="22"/>
          <w:szCs w:val="22"/>
        </w:rPr>
        <w:t>Matsuda index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 </w:t>
      </w:r>
      <w:r w:rsidR="0042673E">
        <w:rPr>
          <w:rFonts w:ascii="Arial" w:hAnsi="Arial" w:cs="Arial"/>
          <w:color w:val="000000" w:themeColor="text1"/>
          <w:sz w:val="22"/>
          <w:szCs w:val="22"/>
        </w:rPr>
        <w:t>18</w:t>
      </w:r>
      <w:r>
        <w:rPr>
          <w:rFonts w:ascii="Arial" w:hAnsi="Arial" w:cs="Arial"/>
          <w:color w:val="000000" w:themeColor="text1"/>
          <w:sz w:val="22"/>
          <w:szCs w:val="22"/>
        </w:rPr>
        <w:t>%</w:t>
      </w:r>
      <w:r w:rsidR="00ED0FF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0FFB" w:rsidRPr="00D03D9D">
        <w:rPr>
          <w:rFonts w:ascii="Arial" w:hAnsi="Arial" w:cs="Arial"/>
          <w:color w:val="000000" w:themeColor="text1"/>
          <w:sz w:val="22"/>
          <w:szCs w:val="22"/>
        </w:rPr>
        <w:t>(p=0.014).</w:t>
      </w:r>
    </w:p>
    <w:p w14:paraId="20FCC3E2" w14:textId="77777777" w:rsidR="00D03D9D" w:rsidRPr="00D03D9D" w:rsidRDefault="00D03D9D" w:rsidP="00FA069B">
      <w:pPr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A96E414" w14:textId="22FD3C8A" w:rsidR="00D03D9D" w:rsidRPr="00ED0FFB" w:rsidRDefault="00ED0FFB" w:rsidP="00FA069B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81084">
        <w:rPr>
          <w:rFonts w:ascii="Arial" w:hAnsi="Arial" w:cs="Arial"/>
          <w:b/>
          <w:bCs/>
          <w:color w:val="000000" w:themeColor="text1"/>
          <w:sz w:val="22"/>
          <w:szCs w:val="22"/>
        </w:rPr>
        <w:t>Conclusion</w:t>
      </w:r>
    </w:p>
    <w:p w14:paraId="765E9C4A" w14:textId="1D6C04BC" w:rsidR="00D03D9D" w:rsidRPr="00D03D9D" w:rsidRDefault="00D03D9D" w:rsidP="00FA069B">
      <w:pPr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3D9D">
        <w:rPr>
          <w:rFonts w:ascii="Arial" w:hAnsi="Arial" w:cs="Arial"/>
          <w:color w:val="000000" w:themeColor="text1"/>
          <w:sz w:val="22"/>
          <w:szCs w:val="22"/>
        </w:rPr>
        <w:t xml:space="preserve">These observations </w:t>
      </w:r>
      <w:r w:rsidR="00DE265F">
        <w:rPr>
          <w:rFonts w:ascii="Arial" w:hAnsi="Arial" w:cs="Arial"/>
          <w:color w:val="000000" w:themeColor="text1"/>
          <w:sz w:val="22"/>
          <w:szCs w:val="22"/>
        </w:rPr>
        <w:t>suggest</w:t>
      </w:r>
      <w:r w:rsidRPr="00D03D9D">
        <w:rPr>
          <w:rFonts w:ascii="Arial" w:hAnsi="Arial" w:cs="Arial"/>
          <w:color w:val="000000" w:themeColor="text1"/>
          <w:sz w:val="22"/>
          <w:szCs w:val="22"/>
        </w:rPr>
        <w:t xml:space="preserve"> that </w:t>
      </w:r>
      <w:r w:rsidR="00ED0FFB" w:rsidRPr="00D03D9D">
        <w:rPr>
          <w:rFonts w:ascii="Arial" w:hAnsi="Arial" w:cs="Arial"/>
          <w:color w:val="000000" w:themeColor="text1"/>
          <w:sz w:val="22"/>
          <w:szCs w:val="22"/>
        </w:rPr>
        <w:t>depleting</w:t>
      </w:r>
      <w:r w:rsidRPr="00D03D9D">
        <w:rPr>
          <w:rFonts w:ascii="Arial" w:hAnsi="Arial" w:cs="Arial"/>
          <w:color w:val="000000" w:themeColor="text1"/>
          <w:sz w:val="22"/>
          <w:szCs w:val="22"/>
        </w:rPr>
        <w:t xml:space="preserve"> intestinal </w:t>
      </w:r>
      <w:r w:rsidR="00DE265F">
        <w:rPr>
          <w:rFonts w:ascii="Arial" w:hAnsi="Arial" w:cs="Arial"/>
          <w:color w:val="000000" w:themeColor="text1"/>
          <w:sz w:val="22"/>
          <w:szCs w:val="22"/>
        </w:rPr>
        <w:t>BAs</w:t>
      </w:r>
      <w:r w:rsidRPr="00D03D9D">
        <w:rPr>
          <w:rFonts w:ascii="Arial" w:hAnsi="Arial" w:cs="Arial"/>
          <w:color w:val="000000" w:themeColor="text1"/>
          <w:sz w:val="22"/>
          <w:szCs w:val="22"/>
        </w:rPr>
        <w:t xml:space="preserve"> for </w:t>
      </w:r>
      <w:r w:rsidR="00613688">
        <w:rPr>
          <w:rFonts w:ascii="Arial" w:hAnsi="Arial" w:cs="Arial"/>
          <w:color w:val="000000" w:themeColor="text1"/>
          <w:sz w:val="22"/>
          <w:szCs w:val="22"/>
        </w:rPr>
        <w:t>two weeks</w:t>
      </w:r>
      <w:r w:rsidRPr="00D03D9D">
        <w:rPr>
          <w:rFonts w:ascii="Arial" w:hAnsi="Arial" w:cs="Arial"/>
          <w:color w:val="000000" w:themeColor="text1"/>
          <w:sz w:val="22"/>
          <w:szCs w:val="22"/>
        </w:rPr>
        <w:t xml:space="preserve"> may augment intestinal sensitivity to </w:t>
      </w:r>
      <w:r w:rsidR="00DE265F">
        <w:rPr>
          <w:rFonts w:ascii="Arial" w:hAnsi="Arial" w:cs="Arial"/>
          <w:color w:val="000000" w:themeColor="text1"/>
          <w:sz w:val="22"/>
          <w:szCs w:val="22"/>
        </w:rPr>
        <w:t xml:space="preserve">BA </w:t>
      </w:r>
      <w:r w:rsidRPr="00D03D9D">
        <w:rPr>
          <w:rFonts w:ascii="Arial" w:hAnsi="Arial" w:cs="Arial"/>
          <w:color w:val="000000" w:themeColor="text1"/>
          <w:sz w:val="22"/>
          <w:szCs w:val="22"/>
        </w:rPr>
        <w:t>and nutrient stimulation</w:t>
      </w:r>
      <w:r w:rsidR="00DE265F">
        <w:rPr>
          <w:rFonts w:ascii="Arial" w:hAnsi="Arial" w:cs="Arial"/>
          <w:color w:val="000000" w:themeColor="text1"/>
          <w:sz w:val="22"/>
          <w:szCs w:val="22"/>
        </w:rPr>
        <w:t>, thereby improving postprandial glucose metabolism</w:t>
      </w:r>
      <w:r w:rsidRPr="00D03D9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B662AB3" w14:textId="4716DD88" w:rsidR="00D03D9D" w:rsidRDefault="00D03D9D" w:rsidP="00D03D9D">
      <w:pPr>
        <w:jc w:val="both"/>
      </w:pPr>
    </w:p>
    <w:p w14:paraId="1D0EBA44" w14:textId="77777777" w:rsidR="00D03D9D" w:rsidRDefault="00D03D9D" w:rsidP="00D03D9D">
      <w:pPr>
        <w:jc w:val="both"/>
      </w:pPr>
    </w:p>
    <w:sectPr w:rsidR="00D03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9D"/>
    <w:rsid w:val="000167F2"/>
    <w:rsid w:val="000A43E3"/>
    <w:rsid w:val="000B193A"/>
    <w:rsid w:val="000D3700"/>
    <w:rsid w:val="000E1C56"/>
    <w:rsid w:val="0014143C"/>
    <w:rsid w:val="0015183E"/>
    <w:rsid w:val="0016131E"/>
    <w:rsid w:val="001743D0"/>
    <w:rsid w:val="0020594E"/>
    <w:rsid w:val="002156AB"/>
    <w:rsid w:val="00265141"/>
    <w:rsid w:val="003005FA"/>
    <w:rsid w:val="00316645"/>
    <w:rsid w:val="00317E9D"/>
    <w:rsid w:val="00320C44"/>
    <w:rsid w:val="00392D75"/>
    <w:rsid w:val="003A61E4"/>
    <w:rsid w:val="003B59D6"/>
    <w:rsid w:val="003B6A3D"/>
    <w:rsid w:val="003D4748"/>
    <w:rsid w:val="003F21C2"/>
    <w:rsid w:val="00402E13"/>
    <w:rsid w:val="0041083B"/>
    <w:rsid w:val="004220FA"/>
    <w:rsid w:val="0042673E"/>
    <w:rsid w:val="00427BD8"/>
    <w:rsid w:val="00433BA5"/>
    <w:rsid w:val="004412D5"/>
    <w:rsid w:val="00474EB5"/>
    <w:rsid w:val="00492099"/>
    <w:rsid w:val="00495DB2"/>
    <w:rsid w:val="0054035C"/>
    <w:rsid w:val="005452B9"/>
    <w:rsid w:val="0057096B"/>
    <w:rsid w:val="005B2753"/>
    <w:rsid w:val="005E080D"/>
    <w:rsid w:val="00604F17"/>
    <w:rsid w:val="00613688"/>
    <w:rsid w:val="0061508B"/>
    <w:rsid w:val="0063788E"/>
    <w:rsid w:val="00657CE8"/>
    <w:rsid w:val="00665508"/>
    <w:rsid w:val="00667590"/>
    <w:rsid w:val="00672337"/>
    <w:rsid w:val="00694A86"/>
    <w:rsid w:val="006B6E8C"/>
    <w:rsid w:val="006C3FCB"/>
    <w:rsid w:val="00732C78"/>
    <w:rsid w:val="0074251E"/>
    <w:rsid w:val="007737BE"/>
    <w:rsid w:val="007957DA"/>
    <w:rsid w:val="007B424F"/>
    <w:rsid w:val="007D3FF8"/>
    <w:rsid w:val="007F47FB"/>
    <w:rsid w:val="00815AB2"/>
    <w:rsid w:val="00815C1D"/>
    <w:rsid w:val="008254AE"/>
    <w:rsid w:val="00831D33"/>
    <w:rsid w:val="00853A47"/>
    <w:rsid w:val="008E0268"/>
    <w:rsid w:val="00902DB5"/>
    <w:rsid w:val="00952B2F"/>
    <w:rsid w:val="009633C5"/>
    <w:rsid w:val="00972ED1"/>
    <w:rsid w:val="009733DE"/>
    <w:rsid w:val="00992A24"/>
    <w:rsid w:val="009E715C"/>
    <w:rsid w:val="00A57483"/>
    <w:rsid w:val="00A6204D"/>
    <w:rsid w:val="00AA71EF"/>
    <w:rsid w:val="00AB6314"/>
    <w:rsid w:val="00B0348B"/>
    <w:rsid w:val="00B07CAF"/>
    <w:rsid w:val="00B50DE3"/>
    <w:rsid w:val="00B51A7F"/>
    <w:rsid w:val="00B67A2C"/>
    <w:rsid w:val="00B914C0"/>
    <w:rsid w:val="00C352C8"/>
    <w:rsid w:val="00CA0351"/>
    <w:rsid w:val="00CA20FA"/>
    <w:rsid w:val="00CA5682"/>
    <w:rsid w:val="00CD0ACC"/>
    <w:rsid w:val="00D0021B"/>
    <w:rsid w:val="00D03D9D"/>
    <w:rsid w:val="00D05D03"/>
    <w:rsid w:val="00D13D29"/>
    <w:rsid w:val="00D63B4F"/>
    <w:rsid w:val="00DC3B08"/>
    <w:rsid w:val="00DE265F"/>
    <w:rsid w:val="00E24729"/>
    <w:rsid w:val="00E3530D"/>
    <w:rsid w:val="00E455B7"/>
    <w:rsid w:val="00EA2D35"/>
    <w:rsid w:val="00EB19DA"/>
    <w:rsid w:val="00ED0FFB"/>
    <w:rsid w:val="00EF3B8E"/>
    <w:rsid w:val="00F211B1"/>
    <w:rsid w:val="00F372F4"/>
    <w:rsid w:val="00F77E1D"/>
    <w:rsid w:val="00F92825"/>
    <w:rsid w:val="00F943E0"/>
    <w:rsid w:val="00FA069B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39FB5D"/>
  <w15:chartTrackingRefBased/>
  <w15:docId w15:val="{4A6588F6-15E1-6540-B161-EED1CAFB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D9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27B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 Xie</dc:creator>
  <cp:keywords/>
  <dc:description/>
  <cp:lastModifiedBy>Cong Xie</cp:lastModifiedBy>
  <cp:revision>3</cp:revision>
  <dcterms:created xsi:type="dcterms:W3CDTF">2025-05-15T22:42:00Z</dcterms:created>
  <dcterms:modified xsi:type="dcterms:W3CDTF">2025-05-15T22:42:00Z</dcterms:modified>
</cp:coreProperties>
</file>