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8"/>
      </w:tblGrid>
      <w:tr w:rsidR="001564A4" w:rsidRPr="0050053A" w14:paraId="5C38377B" w14:textId="77777777" w:rsidTr="001F0DA7">
        <w:trPr>
          <w:trHeight w:val="558"/>
          <w:jc w:val="center"/>
        </w:trPr>
        <w:tc>
          <w:tcPr>
            <w:tcW w:w="9458" w:type="dxa"/>
            <w:shd w:val="clear" w:color="auto" w:fill="auto"/>
          </w:tcPr>
          <w:p w14:paraId="5C44F357" w14:textId="3ADC7E8A" w:rsidR="001564A4" w:rsidRPr="0050053A" w:rsidRDefault="006A4124" w:rsidP="000A28E2">
            <w:pPr>
              <w:spacing w:before="120" w:after="120"/>
              <w:rPr>
                <w:rFonts w:ascii="Arial" w:hAnsi="Arial" w:cs="Arial"/>
                <w:b/>
                <w:sz w:val="22"/>
                <w:szCs w:val="22"/>
                <w:lang w:val="en-US" w:eastAsia="zh-CN"/>
              </w:rPr>
            </w:pPr>
            <w:r w:rsidRPr="006A4124">
              <w:rPr>
                <w:rFonts w:ascii="Arial" w:hAnsi="Arial" w:cs="Arial"/>
                <w:b/>
                <w:sz w:val="22"/>
                <w:szCs w:val="22"/>
                <w:lang w:val="en-US" w:eastAsia="en-GB"/>
              </w:rPr>
              <w:t>Optimal lung cancer care pathways – a Tasmanian perspective</w:t>
            </w:r>
            <w:r>
              <w:rPr>
                <w:rFonts w:ascii="Arial" w:hAnsi="Arial" w:cs="Arial"/>
                <w:b/>
                <w:sz w:val="22"/>
                <w:szCs w:val="22"/>
                <w:lang w:val="en-US" w:eastAsia="en-GB"/>
              </w:rPr>
              <w:t>.</w:t>
            </w:r>
          </w:p>
        </w:tc>
      </w:tr>
      <w:tr w:rsidR="001564A4" w:rsidRPr="0050053A" w14:paraId="0E2E035C" w14:textId="77777777" w:rsidTr="001F0DA7">
        <w:trPr>
          <w:trHeight w:val="667"/>
          <w:jc w:val="center"/>
        </w:trPr>
        <w:tc>
          <w:tcPr>
            <w:tcW w:w="9458" w:type="dxa"/>
            <w:shd w:val="clear" w:color="auto" w:fill="auto"/>
          </w:tcPr>
          <w:p w14:paraId="73B55295" w14:textId="7D89B433" w:rsidR="001564A4" w:rsidRPr="00413B94" w:rsidRDefault="006A4124" w:rsidP="006A4124">
            <w:pPr>
              <w:spacing w:before="120" w:after="120"/>
              <w:rPr>
                <w:rFonts w:ascii="Arial" w:hAnsi="Arial" w:cs="Arial"/>
                <w:sz w:val="22"/>
                <w:szCs w:val="22"/>
                <w:u w:val="single"/>
                <w:lang w:eastAsia="zh-CN"/>
              </w:rPr>
            </w:pPr>
            <w:r w:rsidRPr="006A4124">
              <w:rPr>
                <w:rFonts w:ascii="Arial" w:hAnsi="Arial" w:cs="Arial"/>
                <w:sz w:val="22"/>
                <w:szCs w:val="22"/>
                <w:lang w:val="en-US" w:eastAsia="en-GB"/>
              </w:rPr>
              <w:t>Chui Lyn Leong¹, Ingrid Cox², Renae Grundy¹, Nicholas Harkness¹, Andrew Palmer², Barbara de Graaff², Emma Ball¹.</w:t>
            </w:r>
          </w:p>
        </w:tc>
      </w:tr>
      <w:tr w:rsidR="001564A4" w:rsidRPr="0050053A" w14:paraId="385A19D9" w14:textId="77777777" w:rsidTr="001F0DA7">
        <w:trPr>
          <w:trHeight w:val="198"/>
          <w:jc w:val="center"/>
        </w:trPr>
        <w:tc>
          <w:tcPr>
            <w:tcW w:w="9458" w:type="dxa"/>
            <w:shd w:val="clear" w:color="auto" w:fill="auto"/>
          </w:tcPr>
          <w:p w14:paraId="6F08ACDD" w14:textId="77777777" w:rsidR="006A4124" w:rsidRDefault="001564A4" w:rsidP="000A28E2">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1</w:t>
            </w:r>
            <w:r w:rsidR="006A4124">
              <w:t xml:space="preserve"> </w:t>
            </w:r>
            <w:r w:rsidR="006A4124" w:rsidRPr="006A4124">
              <w:rPr>
                <w:rFonts w:ascii="Arial" w:hAnsi="Arial" w:cs="Arial"/>
                <w:i/>
                <w:sz w:val="22"/>
                <w:szCs w:val="22"/>
                <w:lang w:val="en-US" w:eastAsia="en-GB"/>
              </w:rPr>
              <w:t>Department of Respiratory and Sleep Medicine, Royal Hobart Hospital, Tasmania, Australia.</w:t>
            </w:r>
          </w:p>
          <w:p w14:paraId="45ED36BF" w14:textId="2FD8B82F" w:rsidR="001564A4" w:rsidRPr="0050053A" w:rsidRDefault="001564A4" w:rsidP="000A28E2">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2</w:t>
            </w:r>
            <w:r w:rsidR="006A4124">
              <w:rPr>
                <w:rFonts w:ascii="Arial" w:hAnsi="Arial" w:cs="Arial"/>
                <w:i/>
                <w:sz w:val="22"/>
                <w:szCs w:val="22"/>
                <w:lang w:val="en-US" w:eastAsia="en-GB"/>
              </w:rPr>
              <w:t xml:space="preserve"> </w:t>
            </w:r>
            <w:r w:rsidR="006A4124" w:rsidRPr="006A4124">
              <w:rPr>
                <w:rFonts w:ascii="Arial" w:hAnsi="Arial" w:cs="Arial"/>
                <w:i/>
                <w:sz w:val="22"/>
                <w:szCs w:val="22"/>
                <w:lang w:val="en-US" w:eastAsia="en-GB"/>
              </w:rPr>
              <w:t xml:space="preserve">Menzies Institute for Medical Research, University of Tasmania, Tasmania, Australia </w:t>
            </w:r>
            <w:r w:rsidRPr="0050053A">
              <w:rPr>
                <w:rFonts w:ascii="Arial" w:hAnsi="Arial" w:cs="Arial"/>
                <w:i/>
                <w:sz w:val="22"/>
                <w:szCs w:val="22"/>
                <w:lang w:val="en-US" w:eastAsia="en-GB"/>
              </w:rPr>
              <w:t xml:space="preserve"> </w:t>
            </w:r>
          </w:p>
        </w:tc>
      </w:tr>
      <w:tr w:rsidR="001564A4" w:rsidRPr="0050053A" w14:paraId="6DAF615A" w14:textId="77777777" w:rsidTr="001F0DA7">
        <w:trPr>
          <w:trHeight w:hRule="exact" w:val="10933"/>
          <w:jc w:val="center"/>
        </w:trPr>
        <w:tc>
          <w:tcPr>
            <w:tcW w:w="9458" w:type="dxa"/>
            <w:shd w:val="clear" w:color="auto" w:fill="auto"/>
          </w:tcPr>
          <w:p w14:paraId="3B56D04E" w14:textId="1B056DDE" w:rsidR="006A4124" w:rsidRPr="006A4124" w:rsidRDefault="001564A4" w:rsidP="006A4124">
            <w:pPr>
              <w:pStyle w:val="Pa12"/>
              <w:spacing w:line="240" w:lineRule="auto"/>
              <w:jc w:val="both"/>
              <w:rPr>
                <w:color w:val="000000"/>
                <w:sz w:val="22"/>
                <w:szCs w:val="22"/>
              </w:rPr>
            </w:pPr>
            <w:r>
              <w:rPr>
                <w:rStyle w:val="A4"/>
                <w:b/>
                <w:bCs/>
              </w:rPr>
              <w:t>Introduction/</w:t>
            </w:r>
            <w:r w:rsidRPr="0050053A">
              <w:rPr>
                <w:rStyle w:val="A4"/>
                <w:b/>
                <w:bCs/>
              </w:rPr>
              <w:t xml:space="preserve">Aim: </w:t>
            </w:r>
          </w:p>
          <w:p w14:paraId="2251F6D5" w14:textId="76A3A44B" w:rsidR="001564A4" w:rsidRPr="0050053A" w:rsidRDefault="006A4124" w:rsidP="006A4124">
            <w:pPr>
              <w:pStyle w:val="Pa12"/>
              <w:spacing w:line="240" w:lineRule="auto"/>
              <w:jc w:val="both"/>
              <w:rPr>
                <w:sz w:val="22"/>
                <w:szCs w:val="22"/>
              </w:rPr>
            </w:pPr>
            <w:r w:rsidRPr="006A4124">
              <w:rPr>
                <w:sz w:val="22"/>
                <w:szCs w:val="22"/>
              </w:rPr>
              <w:t>In Australia, Tasmania has the second highest rate of incident lung cancer cases at 44.0/100,000 population, with overall 5-year relative survival rate at 20%</w:t>
            </w:r>
            <w:r>
              <w:rPr>
                <w:sz w:val="22"/>
                <w:szCs w:val="22"/>
              </w:rPr>
              <w:t>¹</w:t>
            </w:r>
            <w:r w:rsidRPr="006A4124">
              <w:rPr>
                <w:sz w:val="22"/>
                <w:szCs w:val="22"/>
              </w:rPr>
              <w:t>. This retrospective study aimed to map and compare patient transit timelines from referral, diagnosis, and treatment to national care quality indicators (NCQI) and optimal care pathway benchmarks (OCP).</w:t>
            </w:r>
          </w:p>
          <w:p w14:paraId="3D770CF7" w14:textId="77777777" w:rsidR="001564A4" w:rsidRPr="0050053A" w:rsidRDefault="001564A4" w:rsidP="006A4124">
            <w:pPr>
              <w:pStyle w:val="Pa12"/>
              <w:spacing w:line="240" w:lineRule="auto"/>
              <w:jc w:val="both"/>
              <w:rPr>
                <w:rStyle w:val="A4"/>
                <w:bCs/>
              </w:rPr>
            </w:pPr>
          </w:p>
          <w:p w14:paraId="7C76B250" w14:textId="3A54A787" w:rsidR="001564A4" w:rsidRPr="006A4124" w:rsidRDefault="001564A4" w:rsidP="006A4124">
            <w:pPr>
              <w:pStyle w:val="Pa12"/>
              <w:spacing w:line="240" w:lineRule="auto"/>
              <w:jc w:val="both"/>
              <w:rPr>
                <w:b/>
                <w:bCs/>
                <w:color w:val="000000"/>
                <w:sz w:val="22"/>
                <w:szCs w:val="22"/>
              </w:rPr>
            </w:pPr>
            <w:r w:rsidRPr="0050053A">
              <w:rPr>
                <w:rStyle w:val="A4"/>
                <w:b/>
                <w:bCs/>
              </w:rPr>
              <w:t>Method</w:t>
            </w:r>
            <w:r>
              <w:rPr>
                <w:rStyle w:val="A4"/>
                <w:b/>
                <w:bCs/>
              </w:rPr>
              <w:t>s</w:t>
            </w:r>
            <w:r w:rsidRPr="0050053A">
              <w:rPr>
                <w:rStyle w:val="A4"/>
                <w:b/>
                <w:bCs/>
              </w:rPr>
              <w:t xml:space="preserve">: </w:t>
            </w:r>
            <w:r>
              <w:rPr>
                <w:sz w:val="22"/>
                <w:szCs w:val="22"/>
              </w:rPr>
              <w:br/>
            </w:r>
            <w:r w:rsidR="006A4124" w:rsidRPr="006A4124">
              <w:rPr>
                <w:sz w:val="22"/>
                <w:szCs w:val="22"/>
              </w:rPr>
              <w:t>Data was extracted from the weekly lung cancer multidisciplinary team meeting minutes, Direct Medical Records (DMR) and ARIA Oncology-Information System for newly diagnosed small cell and non-small cell lung cancer cases between 2019 and 2022, at a regional, university-affiliated tertiary hospital in Tasmania. Sociodemographic data and key dates were extracted including first general practitioner (GP) referral, specialist appointments (respiratory, medical oncology, radiation oncology and cardiothoracic), investigations, diagnosis, staging and treatment. Timelines were benchmarked against NCQI and OCP.</w:t>
            </w:r>
          </w:p>
          <w:p w14:paraId="5029BAE6" w14:textId="77777777" w:rsidR="001564A4" w:rsidRPr="0050053A" w:rsidRDefault="001564A4" w:rsidP="006A4124">
            <w:pPr>
              <w:pStyle w:val="Pa12"/>
              <w:spacing w:line="240" w:lineRule="auto"/>
              <w:jc w:val="both"/>
              <w:rPr>
                <w:rStyle w:val="A4"/>
                <w:bCs/>
              </w:rPr>
            </w:pPr>
          </w:p>
          <w:p w14:paraId="6BF3F094" w14:textId="77777777" w:rsidR="001564A4" w:rsidRPr="0050053A" w:rsidRDefault="001564A4" w:rsidP="006A4124">
            <w:pPr>
              <w:pStyle w:val="Pa12"/>
              <w:spacing w:line="240" w:lineRule="auto"/>
              <w:jc w:val="both"/>
              <w:rPr>
                <w:rStyle w:val="A4"/>
                <w:b/>
                <w:bCs/>
              </w:rPr>
            </w:pPr>
            <w:r w:rsidRPr="0050053A">
              <w:rPr>
                <w:rStyle w:val="A4"/>
                <w:b/>
                <w:bCs/>
              </w:rPr>
              <w:t xml:space="preserve">Results: </w:t>
            </w:r>
          </w:p>
          <w:p w14:paraId="68537800" w14:textId="465CF158" w:rsidR="001564A4" w:rsidRPr="006A4124" w:rsidRDefault="006A4124" w:rsidP="006A4124">
            <w:pPr>
              <w:pStyle w:val="Pa12"/>
              <w:spacing w:line="240" w:lineRule="auto"/>
              <w:jc w:val="both"/>
              <w:rPr>
                <w:rStyle w:val="A4"/>
                <w:color w:val="auto"/>
              </w:rPr>
            </w:pPr>
            <w:r w:rsidRPr="006A4124">
              <w:rPr>
                <w:sz w:val="22"/>
                <w:szCs w:val="22"/>
              </w:rPr>
              <w:t>The cohort included 165 cases, 153 (93%) patients with non-small cell cancer and 12 (7%) patients with small cell lung cancer; Mean age was 72 years, with 68% of patients within the age group 60-79; 57% were males, 38% active smokers and 55% ex-smokers. More than half of the patients were stage 3 or 4 (67%) and 56% of them had 4 or more comorbidities. Results for all years demonstrated that 93% of patients were seen by the respiratory service within 14 days of their GP referral and 71% diagnosed within 28 days of their referral, in accordance with current standards. All GP referral to any treatment intent and diagnosis to any treatment intent indicators were below the required standards, with on average 7% of patients meeting the quality standards (range 0-16%).</w:t>
            </w:r>
            <w:r w:rsidR="001564A4">
              <w:rPr>
                <w:sz w:val="22"/>
                <w:szCs w:val="22"/>
              </w:rPr>
              <w:br/>
            </w:r>
          </w:p>
          <w:p w14:paraId="652F7BE1" w14:textId="77777777" w:rsidR="001564A4" w:rsidRPr="0050053A" w:rsidRDefault="001564A4" w:rsidP="006A4124">
            <w:pPr>
              <w:pStyle w:val="Pa12"/>
              <w:spacing w:line="240" w:lineRule="auto"/>
              <w:jc w:val="both"/>
              <w:rPr>
                <w:rStyle w:val="A4"/>
                <w:b/>
                <w:bCs/>
              </w:rPr>
            </w:pPr>
            <w:r w:rsidRPr="0050053A">
              <w:rPr>
                <w:rStyle w:val="A4"/>
                <w:b/>
                <w:bCs/>
              </w:rPr>
              <w:t xml:space="preserve">Conclusion: </w:t>
            </w:r>
          </w:p>
          <w:p w14:paraId="196E7BAC" w14:textId="26CCD49E" w:rsidR="001564A4" w:rsidRPr="006A4124" w:rsidRDefault="006A4124" w:rsidP="006A4124">
            <w:pPr>
              <w:pStyle w:val="Pa12"/>
              <w:spacing w:line="240" w:lineRule="auto"/>
              <w:jc w:val="both"/>
              <w:rPr>
                <w:rStyle w:val="A4"/>
                <w:color w:val="auto"/>
              </w:rPr>
            </w:pPr>
            <w:r w:rsidRPr="006A4124">
              <w:rPr>
                <w:sz w:val="22"/>
                <w:szCs w:val="22"/>
              </w:rPr>
              <w:t xml:space="preserve">Current national benchmarks have proven challenging to achieve with prolonged time to treatment of any intent. Challenges both at a patient and systemic level will need to be assessed to improve clinical indicator outcomes.   </w:t>
            </w:r>
            <w:r w:rsidR="001564A4">
              <w:rPr>
                <w:sz w:val="22"/>
                <w:szCs w:val="22"/>
              </w:rPr>
              <w:br/>
            </w:r>
            <w:r w:rsidR="001564A4">
              <w:rPr>
                <w:rStyle w:val="A4"/>
                <w:bCs/>
              </w:rPr>
              <w:br/>
            </w:r>
          </w:p>
          <w:p w14:paraId="3E8B4283" w14:textId="550B04D4" w:rsidR="001564A4" w:rsidRPr="006A4124" w:rsidRDefault="001564A4" w:rsidP="006A4124">
            <w:pPr>
              <w:pStyle w:val="Pa12"/>
              <w:spacing w:line="240" w:lineRule="auto"/>
              <w:jc w:val="both"/>
              <w:rPr>
                <w:rStyle w:val="A4"/>
              </w:rPr>
            </w:pPr>
            <w:r w:rsidRPr="0050053A">
              <w:rPr>
                <w:rStyle w:val="A4"/>
                <w:b/>
                <w:bCs/>
              </w:rPr>
              <w:t xml:space="preserve">Grant Support: </w:t>
            </w:r>
            <w:r w:rsidR="006A4124" w:rsidRPr="006A4124">
              <w:rPr>
                <w:rStyle w:val="A4"/>
              </w:rPr>
              <w:t>Nil grant support received.</w:t>
            </w:r>
          </w:p>
          <w:p w14:paraId="5B903CDE" w14:textId="77777777" w:rsidR="006A4124" w:rsidRDefault="006A4124" w:rsidP="006A4124">
            <w:pPr>
              <w:pStyle w:val="Pa12"/>
              <w:spacing w:line="240" w:lineRule="auto"/>
              <w:jc w:val="both"/>
              <w:rPr>
                <w:sz w:val="22"/>
                <w:szCs w:val="22"/>
              </w:rPr>
            </w:pPr>
          </w:p>
          <w:p w14:paraId="5D52C05F" w14:textId="77777777" w:rsidR="006A4124" w:rsidRPr="006A4124" w:rsidRDefault="006A4124" w:rsidP="006A4124">
            <w:pPr>
              <w:pStyle w:val="Pa12"/>
              <w:spacing w:line="240" w:lineRule="auto"/>
              <w:jc w:val="both"/>
              <w:rPr>
                <w:b/>
                <w:bCs/>
                <w:sz w:val="22"/>
                <w:szCs w:val="22"/>
              </w:rPr>
            </w:pPr>
            <w:r w:rsidRPr="006A4124">
              <w:rPr>
                <w:b/>
                <w:bCs/>
                <w:sz w:val="22"/>
                <w:szCs w:val="22"/>
              </w:rPr>
              <w:t>References</w:t>
            </w:r>
          </w:p>
          <w:p w14:paraId="59DDF38B" w14:textId="35558525" w:rsidR="006A4124" w:rsidRDefault="006A4124" w:rsidP="006A4124">
            <w:pPr>
              <w:pStyle w:val="Pa12"/>
              <w:numPr>
                <w:ilvl w:val="0"/>
                <w:numId w:val="1"/>
              </w:numPr>
              <w:spacing w:line="240" w:lineRule="auto"/>
              <w:jc w:val="both"/>
              <w:rPr>
                <w:sz w:val="22"/>
                <w:szCs w:val="22"/>
              </w:rPr>
            </w:pPr>
            <w:r w:rsidRPr="006A4124">
              <w:rPr>
                <w:sz w:val="22"/>
                <w:szCs w:val="22"/>
              </w:rPr>
              <w:t xml:space="preserve">Australian Institute of Health and Welfare. Cancer in Australia 2017. Australian Institute of Health and Welfare; 2017. </w:t>
            </w:r>
            <w:hyperlink r:id="rId8" w:history="1">
              <w:r w:rsidRPr="00E51EE2">
                <w:rPr>
                  <w:rStyle w:val="Hyperlink"/>
                  <w:sz w:val="22"/>
                  <w:szCs w:val="22"/>
                </w:rPr>
                <w:t>https://www.aihw.gov.au/reports/cancer/cancer-in-australia-2017/summary</w:t>
              </w:r>
            </w:hyperlink>
          </w:p>
          <w:p w14:paraId="1DC85285" w14:textId="77777777" w:rsidR="001F0DA7" w:rsidRDefault="006A4124" w:rsidP="001F0DA7">
            <w:pPr>
              <w:pStyle w:val="Pa12"/>
              <w:numPr>
                <w:ilvl w:val="0"/>
                <w:numId w:val="1"/>
              </w:numPr>
              <w:spacing w:line="240" w:lineRule="auto"/>
              <w:rPr>
                <w:sz w:val="22"/>
                <w:szCs w:val="22"/>
              </w:rPr>
            </w:pPr>
            <w:r w:rsidRPr="006A4124">
              <w:rPr>
                <w:sz w:val="22"/>
                <w:szCs w:val="22"/>
              </w:rPr>
              <w:t xml:space="preserve">Cancer Council Victoria, Department of Health Victoria. Optimal care pathway for people with lung cancer, 2nd </w:t>
            </w:r>
            <w:proofErr w:type="spellStart"/>
            <w:r w:rsidRPr="006A4124">
              <w:rPr>
                <w:sz w:val="22"/>
                <w:szCs w:val="22"/>
              </w:rPr>
              <w:t>edn</w:t>
            </w:r>
            <w:proofErr w:type="spellEnd"/>
            <w:r w:rsidRPr="006A4124">
              <w:rPr>
                <w:sz w:val="22"/>
                <w:szCs w:val="22"/>
              </w:rPr>
              <w:t>. Victoria, Australia: Cancer Council Victoria and Department of Health Victoria; 2021.</w:t>
            </w:r>
          </w:p>
          <w:p w14:paraId="643BB27D" w14:textId="77777777" w:rsidR="001F0DA7" w:rsidRPr="001F0DA7" w:rsidRDefault="001F0DA7" w:rsidP="001F0DA7">
            <w:pPr>
              <w:pStyle w:val="Default"/>
            </w:pPr>
          </w:p>
          <w:p w14:paraId="7F8381F0" w14:textId="455E63CA" w:rsidR="001564A4" w:rsidRDefault="001F0DA7" w:rsidP="001F0DA7">
            <w:pPr>
              <w:pStyle w:val="Pa12"/>
              <w:spacing w:line="240" w:lineRule="auto"/>
              <w:rPr>
                <w:sz w:val="22"/>
                <w:szCs w:val="22"/>
              </w:rPr>
            </w:pPr>
            <w:r>
              <w:rPr>
                <w:sz w:val="22"/>
                <w:szCs w:val="22"/>
              </w:rPr>
              <w:t>Key words: Lung cancer, Optimal care pathway, Timelines</w:t>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p>
          <w:p w14:paraId="731CD908" w14:textId="77777777" w:rsidR="001564A4" w:rsidRDefault="001564A4" w:rsidP="006A4124">
            <w:pPr>
              <w:pStyle w:val="Default"/>
              <w:jc w:val="both"/>
            </w:pPr>
          </w:p>
          <w:p w14:paraId="34BF0A0F" w14:textId="77777777" w:rsidR="001564A4" w:rsidRPr="003E35F0" w:rsidRDefault="001564A4" w:rsidP="006A4124">
            <w:pPr>
              <w:pStyle w:val="Default"/>
              <w:jc w:val="both"/>
            </w:pPr>
          </w:p>
          <w:p w14:paraId="1FF1A88F" w14:textId="77777777" w:rsidR="001564A4" w:rsidRPr="0050053A" w:rsidRDefault="001564A4" w:rsidP="006A4124">
            <w:pPr>
              <w:pStyle w:val="Pa12"/>
              <w:spacing w:line="240" w:lineRule="auto"/>
              <w:jc w:val="both"/>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6A4124">
            <w:pPr>
              <w:pStyle w:val="Default"/>
              <w:jc w:val="both"/>
              <w:rPr>
                <w:rStyle w:val="A4"/>
                <w:bCs/>
              </w:rPr>
            </w:pPr>
          </w:p>
          <w:p w14:paraId="5F58D34F" w14:textId="77777777" w:rsidR="001564A4" w:rsidRPr="0050053A" w:rsidRDefault="001564A4" w:rsidP="006A4124">
            <w:pPr>
              <w:pStyle w:val="Default"/>
              <w:jc w:val="both"/>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249E3"/>
    <w:multiLevelType w:val="hybridMultilevel"/>
    <w:tmpl w:val="F3AA559A"/>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16cid:durableId="287782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DA7"/>
    <w:rsid w:val="0051574E"/>
    <w:rsid w:val="006A4124"/>
    <w:rsid w:val="008803FA"/>
    <w:rsid w:val="00B12E32"/>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styleId="Hyperlink">
    <w:name w:val="Hyperlink"/>
    <w:basedOn w:val="DefaultParagraphFont"/>
    <w:uiPriority w:val="99"/>
    <w:unhideWhenUsed/>
    <w:rsid w:val="006A4124"/>
    <w:rPr>
      <w:color w:val="0563C1" w:themeColor="hyperlink"/>
      <w:u w:val="single"/>
    </w:rPr>
  </w:style>
  <w:style w:type="character" w:styleId="UnresolvedMention">
    <w:name w:val="Unresolved Mention"/>
    <w:basedOn w:val="DefaultParagraphFont"/>
    <w:uiPriority w:val="99"/>
    <w:semiHidden/>
    <w:unhideWhenUsed/>
    <w:rsid w:val="006A4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hw.gov.au/reports/cancer/cancer-in-australia-2017/summar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E03BB-3B94-43A7-A10E-EF4C0ABC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joyce lyn</cp:lastModifiedBy>
  <cp:revision>2</cp:revision>
  <dcterms:created xsi:type="dcterms:W3CDTF">2023-09-10T09:51:00Z</dcterms:created>
  <dcterms:modified xsi:type="dcterms:W3CDTF">2023-09-10T09:51:00Z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