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22DD" w14:textId="7054C936" w:rsidR="0000074D" w:rsidRPr="00481B5B" w:rsidRDefault="0000074D" w:rsidP="0000074D">
      <w:pPr>
        <w:rPr>
          <w:rFonts w:ascii="Arial" w:hAnsi="Arial" w:cs="Arial"/>
          <w:sz w:val="22"/>
          <w:szCs w:val="22"/>
        </w:rPr>
      </w:pPr>
      <w:r w:rsidRPr="00481B5B">
        <w:rPr>
          <w:rFonts w:ascii="Arial" w:hAnsi="Arial" w:cs="Arial"/>
          <w:b/>
          <w:bCs/>
          <w:sz w:val="22"/>
          <w:szCs w:val="22"/>
        </w:rPr>
        <w:t xml:space="preserve">Title </w:t>
      </w:r>
      <w:r w:rsidR="00BB00CA" w:rsidRPr="00481B5B">
        <w:rPr>
          <w:rFonts w:ascii="Arial" w:hAnsi="Arial" w:cs="Arial"/>
          <w:b/>
          <w:bCs/>
          <w:sz w:val="22"/>
          <w:szCs w:val="22"/>
        </w:rPr>
        <w:t xml:space="preserve">The </w:t>
      </w:r>
      <w:r w:rsidR="00BB00CA" w:rsidRPr="00481B5B">
        <w:rPr>
          <w:rFonts w:ascii="Arial" w:hAnsi="Arial" w:cs="Arial"/>
          <w:sz w:val="22"/>
          <w:szCs w:val="22"/>
        </w:rPr>
        <w:t xml:space="preserve">Te </w:t>
      </w:r>
      <w:proofErr w:type="spellStart"/>
      <w:r w:rsidR="00BB00CA" w:rsidRPr="00481B5B">
        <w:rPr>
          <w:rFonts w:ascii="Arial" w:hAnsi="Arial" w:cs="Arial"/>
          <w:sz w:val="22"/>
          <w:szCs w:val="22"/>
        </w:rPr>
        <w:t>Kūiti</w:t>
      </w:r>
      <w:proofErr w:type="spellEnd"/>
      <w:r w:rsidR="00BB00CA" w:rsidRPr="00481B5B">
        <w:rPr>
          <w:rFonts w:ascii="Arial" w:hAnsi="Arial" w:cs="Arial"/>
          <w:sz w:val="22"/>
          <w:szCs w:val="22"/>
        </w:rPr>
        <w:t xml:space="preserve"> Access to Cardiology Pilot Study (TKACPS) – Does </w:t>
      </w:r>
      <w:proofErr w:type="spellStart"/>
      <w:r w:rsidR="00BB00CA"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="00BB00CA" w:rsidRPr="00481B5B">
        <w:rPr>
          <w:rFonts w:ascii="Arial" w:hAnsi="Arial" w:cs="Arial"/>
          <w:sz w:val="22"/>
          <w:szCs w:val="22"/>
        </w:rPr>
        <w:t xml:space="preserve"> or ST-2 help predict referral to cardiology?</w:t>
      </w:r>
      <w:r w:rsidRPr="00481B5B">
        <w:rPr>
          <w:rFonts w:ascii="Arial" w:hAnsi="Arial" w:cs="Arial"/>
          <w:sz w:val="22"/>
          <w:szCs w:val="22"/>
        </w:rPr>
        <w:br/>
      </w:r>
    </w:p>
    <w:p w14:paraId="7BB54A8E" w14:textId="77777777" w:rsidR="0000074D" w:rsidRPr="00481B5B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481B5B">
        <w:rPr>
          <w:rFonts w:ascii="Arial" w:hAnsi="Arial" w:cs="Arial"/>
          <w:b/>
          <w:bCs/>
          <w:sz w:val="22"/>
          <w:szCs w:val="22"/>
        </w:rPr>
        <w:t xml:space="preserve">Background: </w:t>
      </w:r>
    </w:p>
    <w:p w14:paraId="74FA145B" w14:textId="210D8491" w:rsidR="0000074D" w:rsidRPr="00481B5B" w:rsidRDefault="00BB00CA" w:rsidP="0000074D">
      <w:pPr>
        <w:rPr>
          <w:rFonts w:ascii="Arial" w:hAnsi="Arial" w:cs="Arial"/>
          <w:sz w:val="22"/>
          <w:szCs w:val="22"/>
        </w:rPr>
      </w:pPr>
      <w:r w:rsidRPr="00481B5B">
        <w:rPr>
          <w:rFonts w:ascii="Arial" w:hAnsi="Arial" w:cs="Arial"/>
          <w:sz w:val="22"/>
          <w:szCs w:val="22"/>
        </w:rPr>
        <w:t xml:space="preserve">TKACPS was designed to assess whether a simple local screening protocol could identify patients requiring cardiology referral, who might be missed by normal GP care, in a high proportion Māori GP population (Te </w:t>
      </w:r>
      <w:proofErr w:type="spellStart"/>
      <w:r w:rsidRPr="00481B5B">
        <w:rPr>
          <w:rFonts w:ascii="Arial" w:hAnsi="Arial" w:cs="Arial"/>
          <w:sz w:val="22"/>
          <w:szCs w:val="22"/>
        </w:rPr>
        <w:t>Kūiti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plasma concentration, included in the screening protocol, can be altered by obesity (lowered) and renal dysfunction (increased), conditions common in the high proportion Māori, GP study population (Te </w:t>
      </w:r>
      <w:proofErr w:type="spellStart"/>
      <w:r w:rsidRPr="00481B5B">
        <w:rPr>
          <w:rFonts w:ascii="Arial" w:hAnsi="Arial" w:cs="Arial"/>
          <w:sz w:val="22"/>
          <w:szCs w:val="22"/>
        </w:rPr>
        <w:t>Kūiti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). ST2 predicts outcome in heart </w:t>
      </w:r>
      <w:proofErr w:type="gramStart"/>
      <w:r w:rsidRPr="00481B5B">
        <w:rPr>
          <w:rFonts w:ascii="Arial" w:hAnsi="Arial" w:cs="Arial"/>
          <w:sz w:val="22"/>
          <w:szCs w:val="22"/>
        </w:rPr>
        <w:t>failure, but</w:t>
      </w:r>
      <w:proofErr w:type="gramEnd"/>
      <w:r w:rsidRPr="00481B5B">
        <w:rPr>
          <w:rFonts w:ascii="Arial" w:hAnsi="Arial" w:cs="Arial"/>
          <w:sz w:val="22"/>
          <w:szCs w:val="22"/>
        </w:rPr>
        <w:t xml:space="preserve"> is less affected by obesity and renal dysfunction. The ability of ST-2 or </w:t>
      </w:r>
      <w:proofErr w:type="spellStart"/>
      <w:r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to predict referral to cardiology was assessed.</w:t>
      </w:r>
    </w:p>
    <w:p w14:paraId="4C2811B1" w14:textId="77777777" w:rsidR="0000074D" w:rsidRPr="00481B5B" w:rsidRDefault="0000074D" w:rsidP="0000074D">
      <w:pPr>
        <w:rPr>
          <w:rFonts w:ascii="Arial" w:hAnsi="Arial" w:cs="Arial"/>
          <w:sz w:val="22"/>
          <w:szCs w:val="22"/>
        </w:rPr>
      </w:pPr>
    </w:p>
    <w:p w14:paraId="383B8C51" w14:textId="77777777" w:rsidR="0000074D" w:rsidRPr="00481B5B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481B5B">
        <w:rPr>
          <w:rFonts w:ascii="Arial" w:hAnsi="Arial" w:cs="Arial"/>
          <w:b/>
          <w:bCs/>
          <w:sz w:val="22"/>
          <w:szCs w:val="22"/>
        </w:rPr>
        <w:t xml:space="preserve">Method: </w:t>
      </w:r>
    </w:p>
    <w:p w14:paraId="5F82D12C" w14:textId="745B1B83" w:rsidR="0000074D" w:rsidRPr="00481B5B" w:rsidRDefault="00BB00CA" w:rsidP="0000074D">
      <w:pPr>
        <w:rPr>
          <w:rFonts w:ascii="Arial" w:hAnsi="Arial" w:cs="Arial"/>
          <w:sz w:val="22"/>
          <w:szCs w:val="22"/>
        </w:rPr>
      </w:pPr>
      <w:r w:rsidRPr="00481B5B">
        <w:rPr>
          <w:rFonts w:ascii="Arial" w:hAnsi="Arial" w:cs="Arial"/>
          <w:sz w:val="22"/>
          <w:szCs w:val="22"/>
        </w:rPr>
        <w:t xml:space="preserve">Te </w:t>
      </w:r>
      <w:proofErr w:type="spellStart"/>
      <w:r w:rsidRPr="00481B5B">
        <w:rPr>
          <w:rFonts w:ascii="Arial" w:hAnsi="Arial" w:cs="Arial"/>
          <w:sz w:val="22"/>
          <w:szCs w:val="22"/>
        </w:rPr>
        <w:t>Kūiti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GP patients aged 35-74, with a </w:t>
      </w:r>
      <w:proofErr w:type="gramStart"/>
      <w:r w:rsidRPr="00481B5B">
        <w:rPr>
          <w:rFonts w:ascii="Arial" w:hAnsi="Arial" w:cs="Arial"/>
          <w:sz w:val="22"/>
          <w:szCs w:val="22"/>
        </w:rPr>
        <w:t>5 year</w:t>
      </w:r>
      <w:proofErr w:type="gramEnd"/>
      <w:r w:rsidRPr="00481B5B">
        <w:rPr>
          <w:rFonts w:ascii="Arial" w:hAnsi="Arial" w:cs="Arial"/>
          <w:sz w:val="22"/>
          <w:szCs w:val="22"/>
        </w:rPr>
        <w:t xml:space="preserve"> CVR of ≥10% (PREDICT CVD) were eligible for inclusion. Current cardiology patients (or those seen within two years), were excluded. Screening protocol (Phase 1: symptom questionnaire, electrocardiogram and plasma </w:t>
      </w:r>
      <w:proofErr w:type="spellStart"/>
      <w:r w:rsidRPr="00481B5B">
        <w:rPr>
          <w:rFonts w:ascii="Arial" w:hAnsi="Arial" w:cs="Arial"/>
          <w:sz w:val="22"/>
          <w:szCs w:val="22"/>
        </w:rPr>
        <w:t>TroponinT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and ST-2) was followed by, if indicated, Phase 2: screening echo, Holter Monitor or exercise tolerance test (ETT). Appropriate patients were referred to cardiology / tertiary services. The values for ST-2 or </w:t>
      </w:r>
      <w:proofErr w:type="spellStart"/>
      <w:r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in those who did not progress to further investigation (group 1), those who progressed to Stage 2 (group 2) and those referred to cardiology (group 3) were compared.</w:t>
      </w:r>
    </w:p>
    <w:p w14:paraId="4C52C407" w14:textId="77777777" w:rsidR="0000074D" w:rsidRPr="00481B5B" w:rsidRDefault="0000074D" w:rsidP="0000074D">
      <w:pPr>
        <w:rPr>
          <w:rFonts w:ascii="Arial" w:hAnsi="Arial" w:cs="Arial"/>
          <w:sz w:val="22"/>
          <w:szCs w:val="22"/>
        </w:rPr>
      </w:pPr>
    </w:p>
    <w:p w14:paraId="1E372F5D" w14:textId="77777777" w:rsidR="0000074D" w:rsidRPr="00481B5B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481B5B">
        <w:rPr>
          <w:rFonts w:ascii="Arial" w:hAnsi="Arial" w:cs="Arial"/>
          <w:b/>
          <w:bCs/>
          <w:sz w:val="22"/>
          <w:szCs w:val="22"/>
        </w:rPr>
        <w:t xml:space="preserve">Results: </w:t>
      </w:r>
    </w:p>
    <w:p w14:paraId="4E34879C" w14:textId="7CC3E31F" w:rsidR="0000074D" w:rsidRPr="00481B5B" w:rsidRDefault="00BB00CA" w:rsidP="0000074D">
      <w:pPr>
        <w:rPr>
          <w:rFonts w:ascii="Arial" w:hAnsi="Arial" w:cs="Arial"/>
          <w:sz w:val="22"/>
          <w:szCs w:val="22"/>
        </w:rPr>
      </w:pPr>
      <w:r w:rsidRPr="00481B5B">
        <w:rPr>
          <w:rFonts w:ascii="Arial" w:hAnsi="Arial" w:cs="Arial"/>
          <w:noProof/>
          <w:sz w:val="22"/>
          <w:szCs w:val="22"/>
          <w:lang w:eastAsia="en-NZ"/>
        </w:rPr>
        <w:drawing>
          <wp:anchor distT="0" distB="0" distL="114300" distR="114300" simplePos="0" relativeHeight="251658240" behindDoc="0" locked="0" layoutInCell="1" allowOverlap="1" wp14:anchorId="01ED0577" wp14:editId="60A91F66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5541010" cy="3324225"/>
            <wp:effectExtent l="0" t="0" r="2540" b="0"/>
            <wp:wrapTopAndBottom/>
            <wp:docPr id="4" name="Picture 4" descr="A white sheet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sheet with black tex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823" cy="333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521CE" w14:textId="7913AD23" w:rsidR="0000074D" w:rsidRPr="00481B5B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481B5B">
        <w:rPr>
          <w:rFonts w:ascii="Arial" w:hAnsi="Arial" w:cs="Arial"/>
          <w:b/>
          <w:bCs/>
          <w:sz w:val="22"/>
          <w:szCs w:val="22"/>
        </w:rPr>
        <w:t xml:space="preserve">Conclusion: </w:t>
      </w:r>
    </w:p>
    <w:p w14:paraId="715EA805" w14:textId="52442802" w:rsidR="00D131DE" w:rsidRPr="00481B5B" w:rsidRDefault="00BB00CA">
      <w:pPr>
        <w:rPr>
          <w:rFonts w:ascii="Arial" w:hAnsi="Arial" w:cs="Arial"/>
          <w:sz w:val="22"/>
          <w:szCs w:val="22"/>
        </w:rPr>
      </w:pPr>
      <w:r w:rsidRPr="00481B5B">
        <w:rPr>
          <w:rFonts w:ascii="Arial" w:hAnsi="Arial" w:cs="Arial"/>
          <w:sz w:val="22"/>
          <w:szCs w:val="22"/>
        </w:rPr>
        <w:t>ST-2 was similar</w:t>
      </w:r>
      <w:r w:rsidRPr="00481B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1B5B">
        <w:rPr>
          <w:rFonts w:ascii="Arial" w:hAnsi="Arial" w:cs="Arial"/>
          <w:sz w:val="22"/>
          <w:szCs w:val="22"/>
        </w:rPr>
        <w:t>across</w:t>
      </w:r>
      <w:r w:rsidRPr="00481B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1B5B">
        <w:rPr>
          <w:rFonts w:ascii="Arial" w:hAnsi="Arial" w:cs="Arial"/>
          <w:sz w:val="22"/>
          <w:szCs w:val="22"/>
        </w:rPr>
        <w:t xml:space="preserve">groups 1-3, suggesting ST-2, in this population, would not help distinguish those needing cardiology referral. </w:t>
      </w:r>
      <w:proofErr w:type="spellStart"/>
      <w:r w:rsidRPr="00481B5B">
        <w:rPr>
          <w:rFonts w:ascii="Arial" w:hAnsi="Arial" w:cs="Arial"/>
          <w:sz w:val="22"/>
          <w:szCs w:val="22"/>
        </w:rPr>
        <w:t>NTproBNP</w:t>
      </w:r>
      <w:proofErr w:type="spellEnd"/>
      <w:r w:rsidRPr="00481B5B">
        <w:rPr>
          <w:rFonts w:ascii="Arial" w:hAnsi="Arial" w:cs="Arial"/>
          <w:sz w:val="22"/>
          <w:szCs w:val="22"/>
        </w:rPr>
        <w:t xml:space="preserve"> was increased in participants that progressed to either Stage 2 investigations or referral compared to those that didn’t, suggesting it may help distinguish those needing further investigation.</w:t>
      </w:r>
    </w:p>
    <w:sectPr w:rsidR="00D131DE" w:rsidRPr="00481B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C"/>
    <w:rsid w:val="0000074D"/>
    <w:rsid w:val="0015038F"/>
    <w:rsid w:val="002A343C"/>
    <w:rsid w:val="00481B5B"/>
    <w:rsid w:val="00B26794"/>
    <w:rsid w:val="00BB00CA"/>
    <w:rsid w:val="00BE7B86"/>
    <w:rsid w:val="00CF4663"/>
    <w:rsid w:val="00D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0F8FF-D0CF-40D1-8445-0C20231EC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E5C85-C917-47F4-9733-9336977C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D2940-FFF9-4911-93F2-24AF4AD8706B}">
  <ds:schemaRefs>
    <ds:schemaRef ds:uri="http://schemas.microsoft.com/office/2006/documentManagement/types"/>
    <ds:schemaRef ds:uri="http://www.w3.org/XML/1998/namespace"/>
    <ds:schemaRef ds:uri="http://purl.org/dc/elements/1.1/"/>
    <ds:schemaRef ds:uri="cab52c9b-ab33-4221-8af9-54f8f2b86a80"/>
    <ds:schemaRef ds:uri="http://schemas.microsoft.com/office/2006/metadata/properties"/>
    <ds:schemaRef ds:uri="6911e96c-4cc4-42d5-8e43-f93924cf6a0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8a2b7b-0bee-4c48-b0a6-23db8982d3bc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Lucy Casey-Connell</cp:lastModifiedBy>
  <cp:revision>2</cp:revision>
  <dcterms:created xsi:type="dcterms:W3CDTF">2025-02-17T20:04:00Z</dcterms:created>
  <dcterms:modified xsi:type="dcterms:W3CDTF">2025-02-17T20:04:00Z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