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1"/>
      </w:tblGrid>
      <w:tr w:rsidR="001564A4" w:rsidRPr="0050053A" w14:paraId="5C38377B" w14:textId="77777777" w:rsidTr="00456230">
        <w:trPr>
          <w:trHeight w:val="616"/>
          <w:jc w:val="center"/>
        </w:trPr>
        <w:tc>
          <w:tcPr>
            <w:tcW w:w="8661" w:type="dxa"/>
            <w:shd w:val="clear" w:color="auto" w:fill="auto"/>
          </w:tcPr>
          <w:p w14:paraId="5C44F357" w14:textId="76DB014B" w:rsidR="001564A4" w:rsidRPr="0050053A" w:rsidRDefault="006A6746" w:rsidP="000A28E2">
            <w:pPr>
              <w:spacing w:before="120" w:after="120"/>
              <w:rPr>
                <w:rFonts w:ascii="Arial" w:hAnsi="Arial" w:cs="Arial"/>
                <w:b/>
                <w:sz w:val="22"/>
                <w:szCs w:val="22"/>
                <w:lang w:val="en-US" w:eastAsia="zh-CN"/>
              </w:rPr>
            </w:pPr>
            <w:r>
              <w:rPr>
                <w:rFonts w:ascii="Arial" w:hAnsi="Arial" w:cs="Arial"/>
                <w:b/>
                <w:sz w:val="22"/>
                <w:szCs w:val="22"/>
                <w:lang w:val="en-US" w:eastAsia="en-GB"/>
              </w:rPr>
              <w:t xml:space="preserve">Understanding the </w:t>
            </w:r>
            <w:r w:rsidR="00E9156B">
              <w:rPr>
                <w:rFonts w:ascii="Arial" w:hAnsi="Arial" w:cs="Arial"/>
                <w:b/>
                <w:sz w:val="22"/>
                <w:szCs w:val="22"/>
                <w:lang w:val="en-US" w:eastAsia="en-GB"/>
              </w:rPr>
              <w:t xml:space="preserve">perceived </w:t>
            </w:r>
            <w:r>
              <w:rPr>
                <w:rFonts w:ascii="Arial" w:hAnsi="Arial" w:cs="Arial"/>
                <w:b/>
                <w:sz w:val="22"/>
                <w:szCs w:val="22"/>
                <w:lang w:val="en-US" w:eastAsia="en-GB"/>
              </w:rPr>
              <w:t>value of wearables in cystic fibrosis care</w:t>
            </w:r>
          </w:p>
        </w:tc>
      </w:tr>
      <w:tr w:rsidR="00DE39FE" w:rsidRPr="0050053A" w14:paraId="0E2E035C" w14:textId="77777777" w:rsidTr="00456230">
        <w:trPr>
          <w:trHeight w:val="934"/>
          <w:jc w:val="center"/>
        </w:trPr>
        <w:tc>
          <w:tcPr>
            <w:tcW w:w="8661" w:type="dxa"/>
            <w:shd w:val="clear" w:color="auto" w:fill="auto"/>
          </w:tcPr>
          <w:p w14:paraId="73B55295" w14:textId="39C97DFC" w:rsidR="00DE39FE" w:rsidRPr="00DE39FE" w:rsidRDefault="00DE39FE" w:rsidP="00DE39FE">
            <w:pPr>
              <w:spacing w:before="120" w:after="120"/>
              <w:rPr>
                <w:rFonts w:ascii="Arial" w:hAnsi="Arial" w:cs="Arial"/>
                <w:sz w:val="22"/>
                <w:szCs w:val="22"/>
                <w:u w:val="single"/>
                <w:lang w:eastAsia="zh-CN"/>
              </w:rPr>
            </w:pPr>
            <w:r w:rsidRPr="00EC0526">
              <w:rPr>
                <w:rFonts w:ascii="Arial" w:hAnsi="Arial" w:cs="Arial"/>
                <w:sz w:val="22"/>
                <w:szCs w:val="22"/>
                <w:lang w:val="en-US" w:eastAsia="en-GB"/>
              </w:rPr>
              <w:t>Graeme Mattison</w:t>
            </w:r>
            <w:r w:rsidRPr="00EC0526">
              <w:rPr>
                <w:rFonts w:ascii="Arial" w:hAnsi="Arial" w:cs="Arial"/>
                <w:sz w:val="22"/>
                <w:szCs w:val="22"/>
                <w:vertAlign w:val="superscript"/>
                <w:lang w:val="en-US" w:eastAsia="en-GB"/>
              </w:rPr>
              <w:t>1,</w:t>
            </w:r>
            <w:proofErr w:type="gramStart"/>
            <w:r w:rsidRPr="00EC0526">
              <w:rPr>
                <w:rFonts w:ascii="Arial" w:hAnsi="Arial" w:cs="Arial"/>
                <w:sz w:val="22"/>
                <w:szCs w:val="22"/>
                <w:vertAlign w:val="superscript"/>
                <w:lang w:val="en-US" w:eastAsia="en-GB"/>
              </w:rPr>
              <w:t>2</w:t>
            </w:r>
            <w:r w:rsidRPr="00EC0526">
              <w:rPr>
                <w:rFonts w:ascii="Arial" w:hAnsi="Arial" w:cs="Arial"/>
                <w:sz w:val="22"/>
                <w:szCs w:val="22"/>
                <w:lang w:val="en-US" w:eastAsia="en-GB"/>
              </w:rPr>
              <w:t>,Doug</w:t>
            </w:r>
            <w:proofErr w:type="gramEnd"/>
            <w:r w:rsidRPr="00EC0526">
              <w:rPr>
                <w:rFonts w:ascii="Arial" w:hAnsi="Arial" w:cs="Arial"/>
                <w:sz w:val="22"/>
                <w:szCs w:val="22"/>
                <w:lang w:val="en-US" w:eastAsia="en-GB"/>
              </w:rPr>
              <w:t xml:space="preserve"> Forrester</w:t>
            </w:r>
            <w:r w:rsidRPr="00EC0526">
              <w:rPr>
                <w:rFonts w:ascii="Arial" w:hAnsi="Arial" w:cs="Arial"/>
                <w:sz w:val="22"/>
                <w:szCs w:val="22"/>
                <w:vertAlign w:val="superscript"/>
                <w:lang w:val="en-US" w:eastAsia="en-GB"/>
              </w:rPr>
              <w:t>3,4</w:t>
            </w:r>
            <w:r w:rsidRPr="00EC0526">
              <w:rPr>
                <w:rFonts w:ascii="Arial" w:hAnsi="Arial" w:cs="Arial"/>
                <w:sz w:val="22"/>
                <w:szCs w:val="22"/>
                <w:lang w:val="en-US" w:eastAsia="en-GB"/>
              </w:rPr>
              <w:t>,Daniel Smith</w:t>
            </w:r>
            <w:r w:rsidRPr="00EC0526">
              <w:rPr>
                <w:rFonts w:ascii="Arial" w:hAnsi="Arial" w:cs="Arial"/>
                <w:sz w:val="22"/>
                <w:szCs w:val="22"/>
                <w:vertAlign w:val="superscript"/>
                <w:lang w:val="en-US" w:eastAsia="en-GB"/>
              </w:rPr>
              <w:t>1,2</w:t>
            </w:r>
            <w:r w:rsidRPr="00EC0526">
              <w:rPr>
                <w:rFonts w:ascii="Arial" w:hAnsi="Arial" w:cs="Arial"/>
                <w:sz w:val="22"/>
                <w:szCs w:val="22"/>
                <w:lang w:val="en-US" w:eastAsia="en-GB"/>
              </w:rPr>
              <w:t>,David Reid</w:t>
            </w:r>
            <w:r w:rsidRPr="00EC0526">
              <w:rPr>
                <w:rFonts w:ascii="Arial" w:hAnsi="Arial" w:cs="Arial"/>
                <w:sz w:val="22"/>
                <w:szCs w:val="22"/>
                <w:vertAlign w:val="superscript"/>
                <w:lang w:val="en-US" w:eastAsia="en-GB"/>
              </w:rPr>
              <w:t>1,2</w:t>
            </w:r>
            <w:r w:rsidRPr="00EC0526">
              <w:rPr>
                <w:rFonts w:ascii="Arial" w:hAnsi="Arial" w:cs="Arial"/>
                <w:sz w:val="22"/>
                <w:szCs w:val="22"/>
                <w:lang w:val="en-US" w:eastAsia="en-GB"/>
              </w:rPr>
              <w:t>,</w:t>
            </w:r>
            <w:r>
              <w:rPr>
                <w:rFonts w:ascii="Arial" w:hAnsi="Arial" w:cs="Arial"/>
                <w:sz w:val="22"/>
                <w:szCs w:val="22"/>
                <w:lang w:val="en-US" w:eastAsia="en-GB"/>
              </w:rPr>
              <w:t>Oliver Canfell</w:t>
            </w:r>
            <w:r>
              <w:rPr>
                <w:rFonts w:ascii="Arial" w:hAnsi="Arial" w:cs="Arial"/>
                <w:sz w:val="22"/>
                <w:szCs w:val="22"/>
                <w:vertAlign w:val="superscript"/>
                <w:lang w:val="en-US" w:eastAsia="en-GB"/>
              </w:rPr>
              <w:t>5</w:t>
            </w:r>
            <w:r>
              <w:rPr>
                <w:rFonts w:ascii="Arial" w:hAnsi="Arial" w:cs="Arial"/>
                <w:sz w:val="22"/>
                <w:szCs w:val="22"/>
                <w:lang w:val="en-US" w:eastAsia="en-GB"/>
              </w:rPr>
              <w:t xml:space="preserve">, </w:t>
            </w:r>
            <w:r w:rsidRPr="00EC0526">
              <w:rPr>
                <w:rFonts w:ascii="Arial" w:hAnsi="Arial" w:cs="Arial"/>
                <w:sz w:val="22"/>
                <w:szCs w:val="22"/>
                <w:lang w:val="en-US" w:eastAsia="en-GB"/>
              </w:rPr>
              <w:t>Chelsea Dobbins</w:t>
            </w:r>
            <w:r>
              <w:rPr>
                <w:rFonts w:ascii="Arial" w:hAnsi="Arial" w:cs="Arial"/>
                <w:sz w:val="22"/>
                <w:szCs w:val="22"/>
                <w:vertAlign w:val="superscript"/>
                <w:lang w:val="en-US" w:eastAsia="en-GB"/>
              </w:rPr>
              <w:t>6</w:t>
            </w:r>
          </w:p>
        </w:tc>
      </w:tr>
      <w:tr w:rsidR="00DE39FE" w:rsidRPr="0050053A" w14:paraId="385A19D9" w14:textId="77777777" w:rsidTr="00456230">
        <w:trPr>
          <w:trHeight w:val="169"/>
          <w:jc w:val="center"/>
        </w:trPr>
        <w:tc>
          <w:tcPr>
            <w:tcW w:w="8661" w:type="dxa"/>
            <w:shd w:val="clear" w:color="auto" w:fill="auto"/>
          </w:tcPr>
          <w:p w14:paraId="5F4F0B99" w14:textId="77777777" w:rsidR="00DE39FE" w:rsidRPr="00EC0526" w:rsidRDefault="00DE39FE" w:rsidP="00DE39FE">
            <w:pPr>
              <w:spacing w:before="120" w:after="120"/>
              <w:rPr>
                <w:rFonts w:ascii="Arial" w:hAnsi="Arial" w:cs="Arial"/>
                <w:i/>
                <w:sz w:val="22"/>
                <w:szCs w:val="22"/>
                <w:lang w:val="en-US" w:eastAsia="en-GB"/>
              </w:rPr>
            </w:pPr>
            <w:r w:rsidRPr="00EC0526">
              <w:rPr>
                <w:rFonts w:ascii="Arial" w:hAnsi="Arial" w:cs="Arial"/>
                <w:i/>
                <w:sz w:val="22"/>
                <w:szCs w:val="22"/>
                <w:vertAlign w:val="superscript"/>
                <w:lang w:val="en-US" w:eastAsia="en-GB"/>
              </w:rPr>
              <w:t>1</w:t>
            </w:r>
            <w:r w:rsidRPr="00EC0526">
              <w:rPr>
                <w:rFonts w:ascii="Arial" w:hAnsi="Arial" w:cs="Arial"/>
                <w:i/>
                <w:sz w:val="22"/>
                <w:szCs w:val="22"/>
                <w:lang w:val="en-US" w:eastAsia="en-GB"/>
              </w:rPr>
              <w:t>Department of Thoracic Medicine, Prince Charles Hospital, Brisbane, Queensland</w:t>
            </w:r>
          </w:p>
          <w:p w14:paraId="767CC96A" w14:textId="77777777" w:rsidR="00DE39FE" w:rsidRPr="00EC0526" w:rsidRDefault="00DE39FE" w:rsidP="00DE39FE">
            <w:pPr>
              <w:spacing w:before="120" w:after="120"/>
              <w:rPr>
                <w:rFonts w:ascii="Arial" w:hAnsi="Arial" w:cs="Arial"/>
                <w:i/>
                <w:sz w:val="22"/>
                <w:szCs w:val="22"/>
                <w:lang w:val="en-US" w:eastAsia="en-GB"/>
              </w:rPr>
            </w:pPr>
            <w:r w:rsidRPr="00EC0526">
              <w:rPr>
                <w:rFonts w:ascii="Arial" w:hAnsi="Arial" w:cs="Arial"/>
                <w:i/>
                <w:sz w:val="22"/>
                <w:szCs w:val="22"/>
                <w:vertAlign w:val="superscript"/>
                <w:lang w:val="en-US" w:eastAsia="en-GB"/>
              </w:rPr>
              <w:t>2</w:t>
            </w:r>
            <w:r w:rsidRPr="00EC0526">
              <w:rPr>
                <w:rFonts w:ascii="Arial" w:hAnsi="Arial" w:cs="Arial"/>
                <w:i/>
                <w:sz w:val="22"/>
                <w:szCs w:val="22"/>
                <w:lang w:val="en-US" w:eastAsia="en-GB"/>
              </w:rPr>
              <w:t>Faculty of Medicine, The University of Queensland, St Lucia, Brisbane, Queensland</w:t>
            </w:r>
          </w:p>
          <w:p w14:paraId="2C47E9BC" w14:textId="77777777" w:rsidR="00DE39FE" w:rsidRPr="00EC0526" w:rsidRDefault="00DE39FE" w:rsidP="00DE39FE">
            <w:pPr>
              <w:spacing w:before="120" w:after="120"/>
              <w:rPr>
                <w:rFonts w:ascii="Arial" w:hAnsi="Arial" w:cs="Arial"/>
                <w:i/>
                <w:sz w:val="22"/>
                <w:szCs w:val="22"/>
                <w:lang w:val="en-US" w:eastAsia="en-GB"/>
              </w:rPr>
            </w:pPr>
            <w:r w:rsidRPr="00EC0526">
              <w:rPr>
                <w:rFonts w:ascii="Arial" w:hAnsi="Arial" w:cs="Arial"/>
                <w:i/>
                <w:sz w:val="22"/>
                <w:szCs w:val="22"/>
                <w:vertAlign w:val="superscript"/>
                <w:lang w:val="en-US" w:eastAsia="en-GB"/>
              </w:rPr>
              <w:t>3</w:t>
            </w:r>
            <w:r w:rsidRPr="00EC0526">
              <w:rPr>
                <w:rFonts w:ascii="Arial" w:hAnsi="Arial" w:cs="Arial"/>
                <w:i/>
                <w:sz w:val="22"/>
                <w:szCs w:val="22"/>
                <w:lang w:val="en-US" w:eastAsia="en-GB"/>
              </w:rPr>
              <w:t>Department of Thoracic Medicine, Sir Charles Gairdner Hospital, Perth, Western Australia</w:t>
            </w:r>
          </w:p>
          <w:p w14:paraId="5DDE9F72" w14:textId="77777777" w:rsidR="00DE39FE" w:rsidRDefault="00DE39FE" w:rsidP="00DE39FE">
            <w:pPr>
              <w:spacing w:before="120" w:after="120"/>
              <w:rPr>
                <w:rFonts w:ascii="Arial" w:hAnsi="Arial" w:cs="Arial"/>
                <w:i/>
                <w:sz w:val="22"/>
                <w:szCs w:val="22"/>
                <w:lang w:val="en-US" w:eastAsia="en-GB"/>
              </w:rPr>
            </w:pPr>
            <w:r w:rsidRPr="00EC0526">
              <w:rPr>
                <w:rFonts w:ascii="Arial" w:hAnsi="Arial" w:cs="Arial"/>
                <w:i/>
                <w:sz w:val="22"/>
                <w:szCs w:val="22"/>
                <w:vertAlign w:val="superscript"/>
                <w:lang w:val="en-US" w:eastAsia="en-GB"/>
              </w:rPr>
              <w:t>4</w:t>
            </w:r>
            <w:r w:rsidRPr="00EC0526">
              <w:rPr>
                <w:rFonts w:ascii="Arial" w:hAnsi="Arial" w:cs="Arial"/>
                <w:i/>
                <w:sz w:val="22"/>
                <w:szCs w:val="22"/>
                <w:lang w:val="en-US" w:eastAsia="en-GB"/>
              </w:rPr>
              <w:t>Faculty of Medicine, Curtin University, Western Australia</w:t>
            </w:r>
          </w:p>
          <w:p w14:paraId="4F3A7302" w14:textId="737336AC" w:rsidR="00DE39FE" w:rsidRPr="00DE39FE" w:rsidRDefault="00DE39FE" w:rsidP="00DE39FE">
            <w:pPr>
              <w:spacing w:before="120" w:after="120"/>
              <w:rPr>
                <w:rFonts w:ascii="Arial" w:hAnsi="Arial" w:cs="Arial"/>
                <w:i/>
                <w:iCs/>
                <w:sz w:val="22"/>
                <w:szCs w:val="22"/>
                <w:lang w:val="en-US" w:eastAsia="en-GB"/>
              </w:rPr>
            </w:pPr>
            <w:r w:rsidRPr="00DE39FE">
              <w:rPr>
                <w:rFonts w:ascii="Arial" w:hAnsi="Arial" w:cs="Arial"/>
                <w:i/>
                <w:iCs/>
                <w:sz w:val="22"/>
                <w:szCs w:val="22"/>
                <w:vertAlign w:val="superscript"/>
                <w:lang w:val="en-US" w:eastAsia="en-GB"/>
              </w:rPr>
              <w:t>5</w:t>
            </w:r>
            <w:r>
              <w:rPr>
                <w:rFonts w:ascii="Arial" w:hAnsi="Arial" w:cs="Arial"/>
                <w:i/>
                <w:iCs/>
                <w:sz w:val="22"/>
                <w:szCs w:val="22"/>
                <w:shd w:val="clear" w:color="auto" w:fill="FFFFFF"/>
              </w:rPr>
              <w:t>U</w:t>
            </w:r>
            <w:r w:rsidRPr="00DE39FE">
              <w:rPr>
                <w:rFonts w:ascii="Arial" w:hAnsi="Arial" w:cs="Arial"/>
                <w:i/>
                <w:iCs/>
                <w:sz w:val="22"/>
                <w:szCs w:val="22"/>
                <w:shd w:val="clear" w:color="auto" w:fill="FFFFFF"/>
              </w:rPr>
              <w:t>niversity of Queensland Business School, Faculty of Business, Economics and Law, The University of Queensland, Brisbane, Australia</w:t>
            </w:r>
          </w:p>
          <w:p w14:paraId="45ED36BF" w14:textId="33CFD57B" w:rsidR="00DE39FE" w:rsidRPr="0050053A" w:rsidRDefault="00DE39FE" w:rsidP="00DE39FE">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6</w:t>
            </w:r>
            <w:r w:rsidRPr="00EC0526">
              <w:rPr>
                <w:rFonts w:ascii="Arial" w:hAnsi="Arial" w:cs="Arial"/>
                <w:i/>
                <w:sz w:val="22"/>
                <w:szCs w:val="22"/>
                <w:lang w:val="en-US" w:eastAsia="en-GB"/>
              </w:rPr>
              <w:t>School of Electrical Engineering</w:t>
            </w:r>
            <w:r>
              <w:rPr>
                <w:rFonts w:ascii="Arial" w:hAnsi="Arial" w:cs="Arial"/>
                <w:i/>
                <w:sz w:val="22"/>
                <w:szCs w:val="22"/>
                <w:lang w:val="en-US" w:eastAsia="en-GB"/>
              </w:rPr>
              <w:t xml:space="preserve"> and Computer Science</w:t>
            </w:r>
            <w:r w:rsidRPr="00EC0526">
              <w:rPr>
                <w:rFonts w:ascii="Arial" w:hAnsi="Arial" w:cs="Arial"/>
                <w:i/>
                <w:sz w:val="22"/>
                <w:szCs w:val="22"/>
                <w:lang w:val="en-US" w:eastAsia="en-GB"/>
              </w:rPr>
              <w:t>, The University of Queensland, St Lucia, Brisbane, Queensland</w:t>
            </w:r>
          </w:p>
        </w:tc>
      </w:tr>
      <w:tr w:rsidR="001564A4" w:rsidRPr="0050053A" w14:paraId="6DAF615A" w14:textId="77777777" w:rsidTr="00456230">
        <w:trPr>
          <w:trHeight w:hRule="exact" w:val="9155"/>
          <w:jc w:val="center"/>
        </w:trPr>
        <w:tc>
          <w:tcPr>
            <w:tcW w:w="8661"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135B62BE" w14:textId="5F467C32" w:rsidR="00456230" w:rsidRDefault="00456230" w:rsidP="000A28E2">
            <w:pPr>
              <w:pStyle w:val="Pa12"/>
              <w:rPr>
                <w:rStyle w:val="EndNoteBibliographyTitleChar"/>
                <w:b/>
                <w:bCs/>
              </w:rPr>
            </w:pPr>
            <w:r w:rsidRPr="00EC0526">
              <w:rPr>
                <w:sz w:val="22"/>
                <w:szCs w:val="22"/>
              </w:rPr>
              <w:t xml:space="preserve">Digital health technologies are </w:t>
            </w:r>
            <w:r>
              <w:rPr>
                <w:sz w:val="22"/>
                <w:szCs w:val="22"/>
              </w:rPr>
              <w:t xml:space="preserve">emerging </w:t>
            </w:r>
            <w:r w:rsidRPr="00EC0526">
              <w:rPr>
                <w:sz w:val="22"/>
                <w:szCs w:val="22"/>
              </w:rPr>
              <w:t>tools in supporting home monitoring, adherence</w:t>
            </w:r>
            <w:r>
              <w:rPr>
                <w:sz w:val="22"/>
                <w:szCs w:val="22"/>
              </w:rPr>
              <w:t>,</w:t>
            </w:r>
            <w:r w:rsidRPr="00EC0526">
              <w:rPr>
                <w:sz w:val="22"/>
                <w:szCs w:val="22"/>
              </w:rPr>
              <w:t xml:space="preserve"> and self-management in CF, particularly for those in remote and/or rural communities. Wearables are ubiquitous in society, with one in three Australians now owning a smartwatch. Unlocking the ability to continually monitor health status</w:t>
            </w:r>
            <w:r>
              <w:rPr>
                <w:sz w:val="22"/>
                <w:szCs w:val="22"/>
              </w:rPr>
              <w:t>,</w:t>
            </w:r>
            <w:r w:rsidRPr="00EC0526">
              <w:rPr>
                <w:sz w:val="22"/>
                <w:szCs w:val="22"/>
              </w:rPr>
              <w:t xml:space="preserve"> using data available to both the user and their clinician</w:t>
            </w:r>
            <w:r>
              <w:rPr>
                <w:sz w:val="22"/>
                <w:szCs w:val="22"/>
              </w:rPr>
              <w:t>,</w:t>
            </w:r>
            <w:r w:rsidRPr="00EC0526">
              <w:rPr>
                <w:sz w:val="22"/>
                <w:szCs w:val="22"/>
              </w:rPr>
              <w:t xml:space="preserve"> has the potential to improve patient autonomy and detect pulmonary exacerbations earlier in CF care. Despite this promise, a recent systematic review published by our team discovered that the </w:t>
            </w:r>
            <w:r>
              <w:rPr>
                <w:sz w:val="22"/>
                <w:szCs w:val="22"/>
              </w:rPr>
              <w:t xml:space="preserve">current </w:t>
            </w:r>
            <w:r w:rsidRPr="00EC0526">
              <w:rPr>
                <w:sz w:val="22"/>
                <w:szCs w:val="22"/>
              </w:rPr>
              <w:t>role of wearables in chronic disease is poorly defined, particularly from the patient and clinician’s perspective.</w:t>
            </w:r>
            <w:r>
              <w:rPr>
                <w:sz w:val="22"/>
                <w:szCs w:val="22"/>
              </w:rPr>
              <w:t xml:space="preserve"> </w:t>
            </w:r>
            <w:r w:rsidRPr="00456230">
              <w:rPr>
                <w:sz w:val="22"/>
                <w:szCs w:val="22"/>
              </w:rPr>
              <w:t xml:space="preserve">The aim of this study is </w:t>
            </w:r>
            <w:bookmarkStart w:id="0" w:name="_Hlk147410598"/>
            <w:r w:rsidRPr="00456230">
              <w:rPr>
                <w:sz w:val="22"/>
                <w:szCs w:val="22"/>
              </w:rPr>
              <w:t>to explore the perceived value of wearables in CF via obtaining perspectives from both people living with the condition and their healthcare providers</w:t>
            </w:r>
            <w:bookmarkEnd w:id="0"/>
            <w:r w:rsidRPr="00456230">
              <w:rPr>
                <w:rStyle w:val="EndNoteBibliographyTitleChar"/>
                <w:rFonts w:ascii="Arial" w:hAnsi="Arial" w:cs="Arial"/>
                <w:b/>
                <w:bCs/>
              </w:rPr>
              <w:t>.</w:t>
            </w:r>
          </w:p>
          <w:p w14:paraId="1B39336E" w14:textId="641EF9A0"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5029BAE6" w14:textId="3ABC5FF5" w:rsidR="001564A4" w:rsidRPr="00456230" w:rsidRDefault="00456230" w:rsidP="000A28E2">
            <w:pPr>
              <w:pStyle w:val="Pa12"/>
              <w:rPr>
                <w:rStyle w:val="A4"/>
                <w:color w:val="auto"/>
              </w:rPr>
            </w:pPr>
            <w:r w:rsidRPr="00EC0526">
              <w:rPr>
                <w:sz w:val="22"/>
                <w:szCs w:val="22"/>
              </w:rPr>
              <w:t xml:space="preserve">A cross-sectional qualitative study was conducted </w:t>
            </w:r>
            <w:r w:rsidRPr="784F2682">
              <w:rPr>
                <w:sz w:val="22"/>
                <w:szCs w:val="22"/>
              </w:rPr>
              <w:t xml:space="preserve">to explore whether people with CF and their healthcare providers value wearable technology. </w:t>
            </w:r>
            <w:r w:rsidRPr="00EC0526">
              <w:rPr>
                <w:sz w:val="22"/>
                <w:szCs w:val="22"/>
              </w:rPr>
              <w:t xml:space="preserve"> </w:t>
            </w:r>
            <w:r w:rsidRPr="784F2682">
              <w:rPr>
                <w:sz w:val="22"/>
                <w:szCs w:val="22"/>
              </w:rPr>
              <w:t>U</w:t>
            </w:r>
            <w:r w:rsidRPr="00EC0526">
              <w:rPr>
                <w:sz w:val="22"/>
                <w:szCs w:val="22"/>
              </w:rPr>
              <w:t>nderpinned by a phenomenological orientation</w:t>
            </w:r>
            <w:r w:rsidRPr="784F2682">
              <w:rPr>
                <w:sz w:val="22"/>
                <w:szCs w:val="22"/>
              </w:rPr>
              <w:t>, n</w:t>
            </w:r>
            <w:r w:rsidRPr="00EC0526">
              <w:rPr>
                <w:sz w:val="22"/>
                <w:szCs w:val="22"/>
              </w:rPr>
              <w:t xml:space="preserve">ine participants </w:t>
            </w:r>
            <w:r>
              <w:rPr>
                <w:sz w:val="22"/>
                <w:szCs w:val="22"/>
              </w:rPr>
              <w:t>with CF</w:t>
            </w:r>
            <w:r w:rsidRPr="00EC0526">
              <w:rPr>
                <w:sz w:val="22"/>
                <w:szCs w:val="22"/>
              </w:rPr>
              <w:t xml:space="preserve"> study underwent semi-structured interviews, alongside two focus groups conducted with eight members of a CF multidisciplinary team. A thematic analysis was conducted using the </w:t>
            </w:r>
            <w:r>
              <w:rPr>
                <w:sz w:val="22"/>
                <w:szCs w:val="22"/>
              </w:rPr>
              <w:t>F</w:t>
            </w:r>
            <w:r w:rsidRPr="00EC0526">
              <w:rPr>
                <w:sz w:val="22"/>
                <w:szCs w:val="22"/>
              </w:rPr>
              <w:t>ramework method.</w:t>
            </w:r>
          </w:p>
          <w:p w14:paraId="6BF3F094" w14:textId="77777777" w:rsidR="001564A4" w:rsidRPr="0050053A" w:rsidRDefault="001564A4" w:rsidP="000A28E2">
            <w:pPr>
              <w:pStyle w:val="Pa12"/>
              <w:rPr>
                <w:rStyle w:val="A4"/>
                <w:b/>
                <w:bCs/>
              </w:rPr>
            </w:pPr>
            <w:r w:rsidRPr="0050053A">
              <w:rPr>
                <w:rStyle w:val="A4"/>
                <w:b/>
                <w:bCs/>
              </w:rPr>
              <w:t xml:space="preserve">Results: </w:t>
            </w:r>
          </w:p>
          <w:p w14:paraId="68537800" w14:textId="2267D399" w:rsidR="001564A4" w:rsidRPr="00456230" w:rsidRDefault="00456230" w:rsidP="00456230">
            <w:pPr>
              <w:rPr>
                <w:rStyle w:val="A4"/>
                <w:rFonts w:ascii="Arial" w:hAnsi="Arial" w:cs="Arial"/>
                <w:color w:val="auto"/>
              </w:rPr>
            </w:pPr>
            <w:r w:rsidRPr="00EC0526">
              <w:rPr>
                <w:rFonts w:ascii="Arial" w:hAnsi="Arial" w:cs="Arial"/>
                <w:sz w:val="22"/>
                <w:szCs w:val="22"/>
              </w:rPr>
              <w:t>Thematic analysis of the value construct of wearables in CF demonstrated four key themes held valuable to people with CF</w:t>
            </w:r>
            <w:r>
              <w:rPr>
                <w:rFonts w:ascii="Arial" w:hAnsi="Arial" w:cs="Arial"/>
                <w:sz w:val="22"/>
                <w:szCs w:val="22"/>
              </w:rPr>
              <w:t xml:space="preserve"> </w:t>
            </w:r>
            <w:r w:rsidRPr="00EC0526">
              <w:rPr>
                <w:rFonts w:ascii="Arial" w:hAnsi="Arial" w:cs="Arial"/>
                <w:sz w:val="22"/>
                <w:szCs w:val="22"/>
              </w:rPr>
              <w:t>and their health care providers. Both groups felt that wearables hold promise in providing motivation towards health</w:t>
            </w:r>
            <w:r>
              <w:rPr>
                <w:rFonts w:ascii="Arial" w:hAnsi="Arial" w:cs="Arial"/>
                <w:sz w:val="22"/>
                <w:szCs w:val="22"/>
              </w:rPr>
              <w:t>y</w:t>
            </w:r>
            <w:r w:rsidRPr="00EC0526">
              <w:rPr>
                <w:rFonts w:ascii="Arial" w:hAnsi="Arial" w:cs="Arial"/>
                <w:sz w:val="22"/>
                <w:szCs w:val="22"/>
              </w:rPr>
              <w:t xml:space="preserve"> lifestyle practices</w:t>
            </w:r>
            <w:r>
              <w:rPr>
                <w:rFonts w:ascii="Arial" w:hAnsi="Arial" w:cs="Arial"/>
                <w:sz w:val="22"/>
                <w:szCs w:val="22"/>
              </w:rPr>
              <w:t>.</w:t>
            </w:r>
            <w:r w:rsidRPr="00EC0526">
              <w:rPr>
                <w:rFonts w:ascii="Arial" w:hAnsi="Arial" w:cs="Arial"/>
                <w:sz w:val="22"/>
                <w:szCs w:val="22"/>
              </w:rPr>
              <w:t xml:space="preserve"> </w:t>
            </w:r>
            <w:r>
              <w:rPr>
                <w:rFonts w:ascii="Arial" w:hAnsi="Arial" w:cs="Arial"/>
                <w:sz w:val="22"/>
                <w:szCs w:val="22"/>
              </w:rPr>
              <w:t>H</w:t>
            </w:r>
            <w:r w:rsidRPr="00EC0526">
              <w:rPr>
                <w:rFonts w:ascii="Arial" w:hAnsi="Arial" w:cs="Arial"/>
                <w:sz w:val="22"/>
                <w:szCs w:val="22"/>
              </w:rPr>
              <w:t>owever</w:t>
            </w:r>
            <w:r>
              <w:rPr>
                <w:rFonts w:ascii="Arial" w:hAnsi="Arial" w:cs="Arial"/>
                <w:sz w:val="22"/>
                <w:szCs w:val="22"/>
              </w:rPr>
              <w:t>, they</w:t>
            </w:r>
            <w:r w:rsidRPr="00EC0526">
              <w:rPr>
                <w:rFonts w:ascii="Arial" w:hAnsi="Arial" w:cs="Arial"/>
                <w:sz w:val="22"/>
                <w:szCs w:val="22"/>
              </w:rPr>
              <w:t xml:space="preserve"> </w:t>
            </w:r>
            <w:r>
              <w:rPr>
                <w:rFonts w:ascii="Arial" w:hAnsi="Arial" w:cs="Arial"/>
                <w:sz w:val="22"/>
                <w:szCs w:val="22"/>
              </w:rPr>
              <w:t>may</w:t>
            </w:r>
            <w:r w:rsidRPr="00EC0526">
              <w:rPr>
                <w:rFonts w:ascii="Arial" w:hAnsi="Arial" w:cs="Arial"/>
                <w:sz w:val="22"/>
                <w:szCs w:val="22"/>
              </w:rPr>
              <w:t xml:space="preserve"> risk generating health anxiety through setting unrealistic targets. A common value was that of personalising wearable design and goal-setting to the individual, rather than focusing on CF as a disease construct due to the risk of perpetuating the “label” of CF.</w:t>
            </w:r>
          </w:p>
          <w:p w14:paraId="652F7BE1" w14:textId="77777777" w:rsidR="001564A4" w:rsidRPr="0050053A" w:rsidRDefault="001564A4" w:rsidP="000A28E2">
            <w:pPr>
              <w:pStyle w:val="Pa12"/>
              <w:rPr>
                <w:rStyle w:val="A4"/>
                <w:b/>
                <w:bCs/>
              </w:rPr>
            </w:pPr>
            <w:r w:rsidRPr="0050053A">
              <w:rPr>
                <w:rStyle w:val="A4"/>
                <w:b/>
                <w:bCs/>
              </w:rPr>
              <w:t xml:space="preserve">Conclusion: </w:t>
            </w:r>
          </w:p>
          <w:p w14:paraId="196E7BAC" w14:textId="0027490C" w:rsidR="001564A4" w:rsidRPr="00456230" w:rsidRDefault="00456230" w:rsidP="000A28E2">
            <w:pPr>
              <w:pStyle w:val="Pa12"/>
              <w:rPr>
                <w:rStyle w:val="A4"/>
                <w:color w:val="auto"/>
              </w:rPr>
            </w:pPr>
            <w:r w:rsidRPr="784F2682">
              <w:rPr>
                <w:sz w:val="22"/>
                <w:szCs w:val="22"/>
              </w:rPr>
              <w:t>People with CF and their health-carers see value in the use of wearables to promote health, however, the risk of generating anxiety requires careful management to prevent harm.</w:t>
            </w: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7F8381F0" w14:textId="6DA48145" w:rsidR="001564A4" w:rsidRDefault="00456230" w:rsidP="000A28E2">
            <w:pPr>
              <w:pStyle w:val="Pa12"/>
              <w:rPr>
                <w:sz w:val="22"/>
                <w:szCs w:val="22"/>
              </w:rPr>
            </w:pPr>
            <w:r w:rsidRPr="00EC0526">
              <w:rPr>
                <w:sz w:val="22"/>
                <w:szCs w:val="22"/>
              </w:rPr>
              <w:t>Graeme Mattison is supported by the Digital Health Cooperative Research Centre, which is funded by the Commonwealth Government through the Cooperative Research Centres Program. The funding source provides salary support only and had no input in the planning, writing or publication of this research.</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7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456230"/>
    <w:rsid w:val="0051574E"/>
    <w:rsid w:val="005D7655"/>
    <w:rsid w:val="006A6746"/>
    <w:rsid w:val="008803FA"/>
    <w:rsid w:val="00AA179C"/>
    <w:rsid w:val="00B12E32"/>
    <w:rsid w:val="00C57B7B"/>
    <w:rsid w:val="00DE39FE"/>
    <w:rsid w:val="00E0700F"/>
    <w:rsid w:val="00E9156B"/>
    <w:rsid w:val="00FE30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CommentText">
    <w:name w:val="annotation text"/>
    <w:basedOn w:val="Normal"/>
    <w:link w:val="CommentTextChar"/>
    <w:uiPriority w:val="99"/>
    <w:unhideWhenUsed/>
    <w:rsid w:val="00DE39FE"/>
    <w:rPr>
      <w:sz w:val="20"/>
      <w:szCs w:val="20"/>
    </w:rPr>
  </w:style>
  <w:style w:type="character" w:customStyle="1" w:styleId="CommentTextChar">
    <w:name w:val="Comment Text Char"/>
    <w:basedOn w:val="DefaultParagraphFont"/>
    <w:link w:val="CommentText"/>
    <w:uiPriority w:val="99"/>
    <w:rsid w:val="00DE39FE"/>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DE39FE"/>
    <w:rPr>
      <w:sz w:val="16"/>
      <w:szCs w:val="16"/>
    </w:rPr>
  </w:style>
  <w:style w:type="character" w:styleId="Hyperlink">
    <w:name w:val="Hyperlink"/>
    <w:basedOn w:val="DefaultParagraphFont"/>
    <w:uiPriority w:val="99"/>
    <w:unhideWhenUsed/>
    <w:rsid w:val="00456230"/>
    <w:rPr>
      <w:color w:val="0563C1" w:themeColor="hyperlink"/>
      <w:u w:val="single"/>
    </w:rPr>
  </w:style>
  <w:style w:type="paragraph" w:customStyle="1" w:styleId="EndNoteBibliographyTitle">
    <w:name w:val="EndNote Bibliography Title"/>
    <w:basedOn w:val="Normal"/>
    <w:link w:val="EndNoteBibliographyTitleChar"/>
    <w:rsid w:val="00456230"/>
    <w:pPr>
      <w:spacing w:line="259" w:lineRule="auto"/>
      <w:jc w:val="center"/>
    </w:pPr>
    <w:rPr>
      <w:rFonts w:ascii="Calibri" w:eastAsiaTheme="minorHAnsi" w:hAnsi="Calibri" w:cs="Calibri"/>
      <w:noProof/>
      <w:kern w:val="2"/>
      <w:sz w:val="22"/>
      <w:szCs w:val="22"/>
      <w:lang w:val="en-US"/>
      <w14:ligatures w14:val="standardContextual"/>
    </w:rPr>
  </w:style>
  <w:style w:type="character" w:customStyle="1" w:styleId="EndNoteBibliographyTitleChar">
    <w:name w:val="EndNote Bibliography Title Char"/>
    <w:basedOn w:val="DefaultParagraphFont"/>
    <w:link w:val="EndNoteBibliographyTitle"/>
    <w:rsid w:val="00456230"/>
    <w:rPr>
      <w:rFonts w:ascii="Calibri" w:hAnsi="Calibri" w:cs="Calibri"/>
      <w:noProof/>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Graeme Mattison</cp:lastModifiedBy>
  <cp:revision>6</cp:revision>
  <dcterms:created xsi:type="dcterms:W3CDTF">2023-10-16T03:50:00Z</dcterms:created>
  <dcterms:modified xsi:type="dcterms:W3CDTF">2023-10-19T01:44:00Z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