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0D22D5" w:rsidRDefault="009C374A" w:rsidP="00375B20">
      <w:pPr>
        <w:rPr>
          <w:rFonts w:ascii="Arial" w:hAnsi="Arial" w:cs="Arial"/>
          <w:b/>
          <w:bCs/>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C8423A" w:rsidRPr="000D22D5" w14:paraId="3CA33060" w14:textId="77777777" w:rsidTr="009F4EA0">
        <w:tc>
          <w:tcPr>
            <w:tcW w:w="8640" w:type="dxa"/>
            <w:shd w:val="clear" w:color="auto" w:fill="F2F2F2" w:themeFill="background1" w:themeFillShade="F2"/>
          </w:tcPr>
          <w:p w14:paraId="2003E176" w14:textId="7CE11870" w:rsidR="00C8423A" w:rsidRPr="002E0943" w:rsidRDefault="00D6708E" w:rsidP="00706DED">
            <w:pPr>
              <w:jc w:val="both"/>
              <w:rPr>
                <w:rFonts w:ascii="Arial" w:hAnsi="Arial" w:cs="Arial"/>
                <w:bCs/>
                <w:i/>
                <w:iCs/>
                <w:sz w:val="22"/>
                <w:szCs w:val="22"/>
                <w:u w:val="single"/>
              </w:rPr>
            </w:pPr>
            <w:r w:rsidRPr="002E0943">
              <w:rPr>
                <w:rFonts w:ascii="Arial" w:hAnsi="Arial" w:cs="Arial"/>
                <w:bCs/>
                <w:i/>
                <w:iCs/>
                <w:sz w:val="22"/>
                <w:szCs w:val="22"/>
              </w:rPr>
              <w:t>Paper</w:t>
            </w:r>
          </w:p>
          <w:p w14:paraId="77F66583" w14:textId="77777777" w:rsidR="00C8423A" w:rsidRPr="002E0943" w:rsidRDefault="00B57828" w:rsidP="0065012F">
            <w:pPr>
              <w:tabs>
                <w:tab w:val="left" w:pos="3386"/>
              </w:tabs>
              <w:jc w:val="both"/>
              <w:rPr>
                <w:rFonts w:ascii="Arial" w:hAnsi="Arial" w:cs="Arial"/>
                <w:b/>
                <w:bCs/>
                <w:sz w:val="22"/>
                <w:szCs w:val="22"/>
              </w:rPr>
            </w:pPr>
            <w:r w:rsidRPr="002E0943">
              <w:rPr>
                <w:rFonts w:ascii="Arial" w:hAnsi="Arial" w:cs="Arial"/>
                <w:b/>
                <w:bCs/>
                <w:sz w:val="22"/>
                <w:szCs w:val="22"/>
              </w:rPr>
              <w:t>Unpacking the theory-practice gap in climate adaptation</w:t>
            </w:r>
          </w:p>
          <w:p w14:paraId="3F7D1534" w14:textId="5309004F" w:rsidR="00B57828" w:rsidRPr="000D22D5" w:rsidRDefault="00B57828" w:rsidP="0065012F">
            <w:pPr>
              <w:tabs>
                <w:tab w:val="left" w:pos="3386"/>
              </w:tabs>
              <w:jc w:val="both"/>
              <w:rPr>
                <w:rFonts w:ascii="Arial" w:hAnsi="Arial" w:cs="Arial"/>
                <w:b/>
                <w:bCs/>
                <w:sz w:val="22"/>
                <w:szCs w:val="22"/>
                <w:lang w:val="en-AU"/>
              </w:rPr>
            </w:pPr>
          </w:p>
        </w:tc>
      </w:tr>
      <w:tr w:rsidR="00C8423A" w:rsidRPr="000D22D5" w14:paraId="1A1C8C63" w14:textId="77777777" w:rsidTr="009F4EA0">
        <w:trPr>
          <w:trHeight w:val="3124"/>
        </w:trPr>
        <w:tc>
          <w:tcPr>
            <w:tcW w:w="8640" w:type="dxa"/>
          </w:tcPr>
          <w:p w14:paraId="3EAF87C7" w14:textId="77777777" w:rsidR="006E350F" w:rsidRDefault="006E350F" w:rsidP="00B03A48">
            <w:pPr>
              <w:pStyle w:val="NormalWeb"/>
              <w:rPr>
                <w:rFonts w:ascii="Arial" w:hAnsi="Arial" w:cs="Arial"/>
                <w:sz w:val="22"/>
                <w:szCs w:val="22"/>
              </w:rPr>
            </w:pPr>
          </w:p>
          <w:p w14:paraId="492554FE" w14:textId="201E1F9D" w:rsidR="00B03A48" w:rsidRPr="000D22D5" w:rsidRDefault="00B03A48" w:rsidP="00B03A48">
            <w:pPr>
              <w:pStyle w:val="NormalWeb"/>
              <w:rPr>
                <w:rFonts w:ascii="Arial" w:hAnsi="Arial" w:cs="Arial"/>
                <w:sz w:val="22"/>
                <w:szCs w:val="22"/>
              </w:rPr>
            </w:pPr>
            <w:r w:rsidRPr="000D22D5">
              <w:rPr>
                <w:rFonts w:ascii="Arial" w:hAnsi="Arial" w:cs="Arial"/>
                <w:sz w:val="22"/>
                <w:szCs w:val="22"/>
              </w:rPr>
              <w:t>Climate change adaptation (CCA) remains an urgent global challenge, requiring transdisciplinary efforts to ensure effective and sustainable outcomes. Despite the development of numerous frameworks, policies, and tools, a persistent gap exists between adaptation theory and its practical implementation. This paper explores the nature of this theory–practice gap, identifying its drivers and proposing integrative solutions to bridge the divide. Through a novel Theory-Practice Gap Conceptual Framework, developed via an extensive literature review and validated through expert workshops, we identify key barriers including knowledge accessibility, institutional constraints, communication gaps, and limited funding. Our findings reveal that the gap is not unidirectional but rather an evolving challenge influenced by both theoretical and practical constraints. Solutions must be iterative, flexible, and rooted in transdisciplinary collaboration, incorporating learning, reflection, and adaptive decision-making. By recognizing the dynamic nature of adaptation challenges, this framework provides guidance for policymakers, practitioners, and researchers seeking to enhance the translation of theory into action. Our work contributes to the growing discourse on adaptation effectiveness and highlights the necessity of integrating diverse knowledge systems to improve climate resilience at multiple scales.</w:t>
            </w:r>
          </w:p>
          <w:p w14:paraId="38B4FF60" w14:textId="17E5240D" w:rsidR="007D3D98" w:rsidRPr="000D22D5" w:rsidRDefault="007D3D98" w:rsidP="00B03A48">
            <w:pPr>
              <w:pStyle w:val="NormalWeb"/>
              <w:rPr>
                <w:rFonts w:ascii="Arial" w:hAnsi="Arial" w:cs="Arial"/>
                <w:sz w:val="22"/>
                <w:szCs w:val="22"/>
              </w:rPr>
            </w:pPr>
            <w:hyperlink r:id="rId8" w:history="1">
              <w:r w:rsidRPr="000D22D5">
                <w:rPr>
                  <w:rStyle w:val="Hyperlink"/>
                  <w:rFonts w:ascii="Arial" w:hAnsi="Arial" w:cs="Arial"/>
                  <w:sz w:val="22"/>
                  <w:szCs w:val="22"/>
                </w:rPr>
                <w:t>https://www.sciencedirect.com/science/article/pii/S2212096323000931</w:t>
              </w:r>
            </w:hyperlink>
          </w:p>
          <w:p w14:paraId="2D50B41F" w14:textId="77777777" w:rsidR="00D37307" w:rsidRPr="000D22D5" w:rsidRDefault="00D37307" w:rsidP="00D37307">
            <w:pPr>
              <w:jc w:val="both"/>
              <w:rPr>
                <w:rFonts w:ascii="Arial" w:hAnsi="Arial" w:cs="Arial"/>
                <w:bCs/>
                <w:sz w:val="22"/>
                <w:szCs w:val="22"/>
                <w:lang w:val="en-AU"/>
              </w:rPr>
            </w:pPr>
            <w:r w:rsidRPr="000D22D5">
              <w:rPr>
                <w:rFonts w:ascii="Arial" w:hAnsi="Arial" w:cs="Arial"/>
                <w:b/>
                <w:bCs/>
                <w:sz w:val="22"/>
                <w:szCs w:val="22"/>
                <w:lang w:val="en-AU"/>
              </w:rPr>
              <w:t>Introduction</w:t>
            </w:r>
          </w:p>
          <w:p w14:paraId="0C1AC62F" w14:textId="77777777" w:rsidR="00D37307" w:rsidRDefault="00D37307" w:rsidP="00D37307">
            <w:pPr>
              <w:jc w:val="both"/>
              <w:rPr>
                <w:rFonts w:ascii="Arial" w:hAnsi="Arial" w:cs="Arial"/>
                <w:bCs/>
                <w:sz w:val="22"/>
                <w:szCs w:val="22"/>
                <w:lang w:val="en-AU"/>
              </w:rPr>
            </w:pPr>
            <w:r w:rsidRPr="000D22D5">
              <w:rPr>
                <w:rFonts w:ascii="Arial" w:hAnsi="Arial" w:cs="Arial"/>
                <w:bCs/>
                <w:sz w:val="22"/>
                <w:szCs w:val="22"/>
                <w:lang w:val="en-AU"/>
              </w:rPr>
              <w:t xml:space="preserve">Despite growing attention and investment in climate change adaptation, a critical gap persists between theoretical advancements and their application in practice. The Intergovernmental Panel on Climate Change (IPCC) and global adaptation reports indicate that while adaptation planning is increasing, implementation remains fragmented, small-scale, and </w:t>
            </w:r>
            <w:proofErr w:type="gramStart"/>
            <w:r w:rsidRPr="000D22D5">
              <w:rPr>
                <w:rFonts w:ascii="Arial" w:hAnsi="Arial" w:cs="Arial"/>
                <w:bCs/>
                <w:sz w:val="22"/>
                <w:szCs w:val="22"/>
                <w:lang w:val="en-AU"/>
              </w:rPr>
              <w:t>sector-specific</w:t>
            </w:r>
            <w:proofErr w:type="gramEnd"/>
            <w:r w:rsidRPr="000D22D5">
              <w:rPr>
                <w:rFonts w:ascii="Arial" w:hAnsi="Arial" w:cs="Arial"/>
                <w:bCs/>
                <w:sz w:val="22"/>
                <w:szCs w:val="22"/>
                <w:lang w:val="en-AU"/>
              </w:rPr>
              <w:t>. This research seeks to unpack the theory–practice gap in CCA, examining how it emerges, what drives it, and how it can be effectively addressed.</w:t>
            </w:r>
          </w:p>
          <w:p w14:paraId="54B37AC0" w14:textId="77777777" w:rsidR="006E350F" w:rsidRPr="000D22D5" w:rsidRDefault="006E350F" w:rsidP="00D37307">
            <w:pPr>
              <w:jc w:val="both"/>
              <w:rPr>
                <w:rFonts w:ascii="Arial" w:hAnsi="Arial" w:cs="Arial"/>
                <w:bCs/>
                <w:sz w:val="22"/>
                <w:szCs w:val="22"/>
                <w:lang w:val="en-AU"/>
              </w:rPr>
            </w:pPr>
          </w:p>
          <w:p w14:paraId="7A31A009" w14:textId="77777777" w:rsidR="00D37307" w:rsidRPr="000D22D5" w:rsidRDefault="00D37307" w:rsidP="00D37307">
            <w:pPr>
              <w:jc w:val="both"/>
              <w:rPr>
                <w:rFonts w:ascii="Arial" w:hAnsi="Arial" w:cs="Arial"/>
                <w:bCs/>
                <w:sz w:val="22"/>
                <w:szCs w:val="22"/>
                <w:lang w:val="en-AU"/>
              </w:rPr>
            </w:pPr>
            <w:r w:rsidRPr="000D22D5">
              <w:rPr>
                <w:rFonts w:ascii="Arial" w:hAnsi="Arial" w:cs="Arial"/>
                <w:b/>
                <w:bCs/>
                <w:sz w:val="22"/>
                <w:szCs w:val="22"/>
                <w:lang w:val="en-AU"/>
              </w:rPr>
              <w:t>Objectives</w:t>
            </w:r>
          </w:p>
          <w:p w14:paraId="5CD5647E" w14:textId="77777777" w:rsidR="00D37307" w:rsidRPr="000D22D5" w:rsidRDefault="00D37307" w:rsidP="00D37307">
            <w:pPr>
              <w:numPr>
                <w:ilvl w:val="0"/>
                <w:numId w:val="4"/>
              </w:numPr>
              <w:jc w:val="both"/>
              <w:rPr>
                <w:rFonts w:ascii="Arial" w:hAnsi="Arial" w:cs="Arial"/>
                <w:bCs/>
                <w:sz w:val="22"/>
                <w:szCs w:val="22"/>
                <w:lang w:val="en-AU"/>
              </w:rPr>
            </w:pPr>
            <w:r w:rsidRPr="000D22D5">
              <w:rPr>
                <w:rFonts w:ascii="Arial" w:hAnsi="Arial" w:cs="Arial"/>
                <w:bCs/>
                <w:sz w:val="22"/>
                <w:szCs w:val="22"/>
                <w:lang w:val="en-AU"/>
              </w:rPr>
              <w:t>To define and characterize the theory–practice gap in climate adaptation.</w:t>
            </w:r>
          </w:p>
          <w:p w14:paraId="017D0CEB" w14:textId="77777777" w:rsidR="00D37307" w:rsidRPr="000D22D5" w:rsidRDefault="00D37307" w:rsidP="00D37307">
            <w:pPr>
              <w:numPr>
                <w:ilvl w:val="0"/>
                <w:numId w:val="4"/>
              </w:numPr>
              <w:jc w:val="both"/>
              <w:rPr>
                <w:rFonts w:ascii="Arial" w:hAnsi="Arial" w:cs="Arial"/>
                <w:bCs/>
                <w:sz w:val="22"/>
                <w:szCs w:val="22"/>
                <w:lang w:val="en-AU"/>
              </w:rPr>
            </w:pPr>
            <w:r w:rsidRPr="000D22D5">
              <w:rPr>
                <w:rFonts w:ascii="Arial" w:hAnsi="Arial" w:cs="Arial"/>
                <w:bCs/>
                <w:sz w:val="22"/>
                <w:szCs w:val="22"/>
                <w:lang w:val="en-AU"/>
              </w:rPr>
              <w:t>To identify key drivers contributing to the persistence of this gap.</w:t>
            </w:r>
          </w:p>
          <w:p w14:paraId="3565505D" w14:textId="77777777" w:rsidR="00D37307" w:rsidRPr="000D22D5" w:rsidRDefault="00D37307" w:rsidP="00D37307">
            <w:pPr>
              <w:numPr>
                <w:ilvl w:val="0"/>
                <w:numId w:val="4"/>
              </w:numPr>
              <w:jc w:val="both"/>
              <w:rPr>
                <w:rFonts w:ascii="Arial" w:hAnsi="Arial" w:cs="Arial"/>
                <w:bCs/>
                <w:sz w:val="22"/>
                <w:szCs w:val="22"/>
                <w:lang w:val="en-AU"/>
              </w:rPr>
            </w:pPr>
            <w:r w:rsidRPr="000D22D5">
              <w:rPr>
                <w:rFonts w:ascii="Arial" w:hAnsi="Arial" w:cs="Arial"/>
                <w:bCs/>
                <w:sz w:val="22"/>
                <w:szCs w:val="22"/>
                <w:lang w:val="en-AU"/>
              </w:rPr>
              <w:t>To propose integrated solutions that enhance the applicability of adaptation knowledge in practice.</w:t>
            </w:r>
          </w:p>
          <w:p w14:paraId="0AC8D416" w14:textId="77777777" w:rsidR="00D37307" w:rsidRPr="000D22D5" w:rsidRDefault="00D37307" w:rsidP="00D37307">
            <w:pPr>
              <w:numPr>
                <w:ilvl w:val="0"/>
                <w:numId w:val="4"/>
              </w:numPr>
              <w:jc w:val="both"/>
              <w:rPr>
                <w:rFonts w:ascii="Arial" w:hAnsi="Arial" w:cs="Arial"/>
                <w:bCs/>
                <w:sz w:val="22"/>
                <w:szCs w:val="22"/>
                <w:lang w:val="en-AU"/>
              </w:rPr>
            </w:pPr>
            <w:r w:rsidRPr="000D22D5">
              <w:rPr>
                <w:rFonts w:ascii="Arial" w:hAnsi="Arial" w:cs="Arial"/>
                <w:bCs/>
                <w:sz w:val="22"/>
                <w:szCs w:val="22"/>
                <w:lang w:val="en-AU"/>
              </w:rPr>
              <w:t>To explore the implications of these findings for adaptation policy and decision-making.</w:t>
            </w:r>
          </w:p>
          <w:p w14:paraId="2F127CF1" w14:textId="77777777" w:rsidR="006E350F" w:rsidRDefault="006E350F" w:rsidP="00D37307">
            <w:pPr>
              <w:jc w:val="both"/>
              <w:rPr>
                <w:rFonts w:ascii="Arial" w:hAnsi="Arial" w:cs="Arial"/>
                <w:b/>
                <w:bCs/>
                <w:sz w:val="22"/>
                <w:szCs w:val="22"/>
                <w:lang w:val="en-AU"/>
              </w:rPr>
            </w:pPr>
          </w:p>
          <w:p w14:paraId="557CF5D4" w14:textId="0478F317" w:rsidR="00D37307" w:rsidRPr="000D22D5" w:rsidRDefault="00D37307" w:rsidP="00D37307">
            <w:pPr>
              <w:jc w:val="both"/>
              <w:rPr>
                <w:rFonts w:ascii="Arial" w:hAnsi="Arial" w:cs="Arial"/>
                <w:bCs/>
                <w:sz w:val="22"/>
                <w:szCs w:val="22"/>
                <w:lang w:val="en-AU"/>
              </w:rPr>
            </w:pPr>
            <w:r w:rsidRPr="000D22D5">
              <w:rPr>
                <w:rFonts w:ascii="Arial" w:hAnsi="Arial" w:cs="Arial"/>
                <w:b/>
                <w:bCs/>
                <w:sz w:val="22"/>
                <w:szCs w:val="22"/>
                <w:lang w:val="en-AU"/>
              </w:rPr>
              <w:t>Methodology</w:t>
            </w:r>
          </w:p>
          <w:p w14:paraId="35EFBBCE" w14:textId="77777777" w:rsidR="00D37307" w:rsidRPr="000D22D5" w:rsidRDefault="00D37307" w:rsidP="00D37307">
            <w:pPr>
              <w:jc w:val="both"/>
              <w:rPr>
                <w:rFonts w:ascii="Arial" w:hAnsi="Arial" w:cs="Arial"/>
                <w:bCs/>
                <w:sz w:val="22"/>
                <w:szCs w:val="22"/>
                <w:lang w:val="en-AU"/>
              </w:rPr>
            </w:pPr>
            <w:r w:rsidRPr="000D22D5">
              <w:rPr>
                <w:rFonts w:ascii="Arial" w:hAnsi="Arial" w:cs="Arial"/>
                <w:bCs/>
                <w:sz w:val="22"/>
                <w:szCs w:val="22"/>
                <w:lang w:val="en-AU"/>
              </w:rPr>
              <w:t>The study employs a mixed-methods approach combining:</w:t>
            </w:r>
          </w:p>
          <w:p w14:paraId="490495FE" w14:textId="77777777" w:rsidR="00D37307" w:rsidRPr="000D22D5" w:rsidRDefault="00D37307" w:rsidP="00D37307">
            <w:pPr>
              <w:numPr>
                <w:ilvl w:val="0"/>
                <w:numId w:val="5"/>
              </w:numPr>
              <w:jc w:val="both"/>
              <w:rPr>
                <w:rFonts w:ascii="Arial" w:hAnsi="Arial" w:cs="Arial"/>
                <w:bCs/>
                <w:sz w:val="22"/>
                <w:szCs w:val="22"/>
                <w:lang w:val="en-AU"/>
              </w:rPr>
            </w:pPr>
            <w:r w:rsidRPr="000D22D5">
              <w:rPr>
                <w:rFonts w:ascii="Arial" w:hAnsi="Arial" w:cs="Arial"/>
                <w:b/>
                <w:bCs/>
                <w:sz w:val="22"/>
                <w:szCs w:val="22"/>
                <w:lang w:val="en-AU"/>
              </w:rPr>
              <w:t>Systematic Literature Review</w:t>
            </w:r>
            <w:r w:rsidRPr="000D22D5">
              <w:rPr>
                <w:rFonts w:ascii="Arial" w:hAnsi="Arial" w:cs="Arial"/>
                <w:bCs/>
                <w:sz w:val="22"/>
                <w:szCs w:val="22"/>
                <w:lang w:val="en-AU"/>
              </w:rPr>
              <w:t>: A review of 188 peer-reviewed journal articles across multiple disciplines to identify barriers and enablers in adaptation implementation.</w:t>
            </w:r>
          </w:p>
          <w:p w14:paraId="4FFB080A" w14:textId="77777777" w:rsidR="00D37307" w:rsidRPr="000D22D5" w:rsidRDefault="00D37307" w:rsidP="00D37307">
            <w:pPr>
              <w:numPr>
                <w:ilvl w:val="0"/>
                <w:numId w:val="5"/>
              </w:numPr>
              <w:jc w:val="both"/>
              <w:rPr>
                <w:rFonts w:ascii="Arial" w:hAnsi="Arial" w:cs="Arial"/>
                <w:bCs/>
                <w:sz w:val="22"/>
                <w:szCs w:val="22"/>
                <w:lang w:val="en-AU"/>
              </w:rPr>
            </w:pPr>
            <w:r w:rsidRPr="000D22D5">
              <w:rPr>
                <w:rFonts w:ascii="Arial" w:hAnsi="Arial" w:cs="Arial"/>
                <w:b/>
                <w:bCs/>
                <w:sz w:val="22"/>
                <w:szCs w:val="22"/>
                <w:lang w:val="en-AU"/>
              </w:rPr>
              <w:lastRenderedPageBreak/>
              <w:t>Conceptual Framework Development</w:t>
            </w:r>
            <w:r w:rsidRPr="000D22D5">
              <w:rPr>
                <w:rFonts w:ascii="Arial" w:hAnsi="Arial" w:cs="Arial"/>
                <w:bCs/>
                <w:sz w:val="22"/>
                <w:szCs w:val="22"/>
                <w:lang w:val="en-AU"/>
              </w:rPr>
              <w:t>: The Theory-Practice Gap Conceptual Framework, categorizing drivers and solutions across Theory, Practice, and Joint spaces.</w:t>
            </w:r>
          </w:p>
          <w:p w14:paraId="6C704E82" w14:textId="77777777" w:rsidR="00D37307" w:rsidRPr="000D22D5" w:rsidRDefault="00D37307" w:rsidP="00D37307">
            <w:pPr>
              <w:numPr>
                <w:ilvl w:val="0"/>
                <w:numId w:val="5"/>
              </w:numPr>
              <w:jc w:val="both"/>
              <w:rPr>
                <w:rFonts w:ascii="Arial" w:hAnsi="Arial" w:cs="Arial"/>
                <w:bCs/>
                <w:sz w:val="22"/>
                <w:szCs w:val="22"/>
                <w:lang w:val="en-AU"/>
              </w:rPr>
            </w:pPr>
            <w:r w:rsidRPr="000D22D5">
              <w:rPr>
                <w:rFonts w:ascii="Arial" w:hAnsi="Arial" w:cs="Arial"/>
                <w:b/>
                <w:bCs/>
                <w:sz w:val="22"/>
                <w:szCs w:val="22"/>
                <w:lang w:val="en-AU"/>
              </w:rPr>
              <w:t>Expert Workshops</w:t>
            </w:r>
            <w:r w:rsidRPr="000D22D5">
              <w:rPr>
                <w:rFonts w:ascii="Arial" w:hAnsi="Arial" w:cs="Arial"/>
                <w:bCs/>
                <w:sz w:val="22"/>
                <w:szCs w:val="22"/>
                <w:lang w:val="en-AU"/>
              </w:rPr>
              <w:t>: Three workshops with 12 adaptation professionals from academia, government, and NGOs to validate the framework and refine the solutions.</w:t>
            </w:r>
          </w:p>
          <w:p w14:paraId="2B80BA21" w14:textId="77777777" w:rsidR="00D37307" w:rsidRPr="000D22D5" w:rsidRDefault="00D37307" w:rsidP="00D37307">
            <w:pPr>
              <w:numPr>
                <w:ilvl w:val="0"/>
                <w:numId w:val="5"/>
              </w:numPr>
              <w:jc w:val="both"/>
              <w:rPr>
                <w:rFonts w:ascii="Arial" w:hAnsi="Arial" w:cs="Arial"/>
                <w:bCs/>
                <w:sz w:val="22"/>
                <w:szCs w:val="22"/>
                <w:lang w:val="en-AU"/>
              </w:rPr>
            </w:pPr>
            <w:r w:rsidRPr="000D22D5">
              <w:rPr>
                <w:rFonts w:ascii="Arial" w:hAnsi="Arial" w:cs="Arial"/>
                <w:b/>
                <w:bCs/>
                <w:sz w:val="22"/>
                <w:szCs w:val="22"/>
                <w:lang w:val="en-AU"/>
              </w:rPr>
              <w:t>Qualitative Data Analysis</w:t>
            </w:r>
            <w:r w:rsidRPr="000D22D5">
              <w:rPr>
                <w:rFonts w:ascii="Arial" w:hAnsi="Arial" w:cs="Arial"/>
                <w:bCs/>
                <w:sz w:val="22"/>
                <w:szCs w:val="22"/>
                <w:lang w:val="en-AU"/>
              </w:rPr>
              <w:t>: Thematic coding of workshop discussions to extract insights on practical barriers and opportunities for bridging the gap.</w:t>
            </w:r>
          </w:p>
          <w:p w14:paraId="5EB32F9A" w14:textId="77777777" w:rsidR="006E350F" w:rsidRDefault="006E350F" w:rsidP="00D37307">
            <w:pPr>
              <w:jc w:val="both"/>
              <w:rPr>
                <w:rFonts w:ascii="Arial" w:hAnsi="Arial" w:cs="Arial"/>
                <w:b/>
                <w:bCs/>
                <w:sz w:val="22"/>
                <w:szCs w:val="22"/>
                <w:lang w:val="en-AU"/>
              </w:rPr>
            </w:pPr>
          </w:p>
          <w:p w14:paraId="047142DB" w14:textId="734FFD3E" w:rsidR="00D37307" w:rsidRPr="000D22D5" w:rsidRDefault="00D37307" w:rsidP="00D37307">
            <w:pPr>
              <w:jc w:val="both"/>
              <w:rPr>
                <w:rFonts w:ascii="Arial" w:hAnsi="Arial" w:cs="Arial"/>
                <w:bCs/>
                <w:sz w:val="22"/>
                <w:szCs w:val="22"/>
                <w:lang w:val="en-AU"/>
              </w:rPr>
            </w:pPr>
            <w:r w:rsidRPr="000D22D5">
              <w:rPr>
                <w:rFonts w:ascii="Arial" w:hAnsi="Arial" w:cs="Arial"/>
                <w:b/>
                <w:bCs/>
                <w:sz w:val="22"/>
                <w:szCs w:val="22"/>
                <w:lang w:val="en-AU"/>
              </w:rPr>
              <w:t>Findings</w:t>
            </w:r>
          </w:p>
          <w:p w14:paraId="081E8E40" w14:textId="77777777" w:rsidR="00D37307" w:rsidRPr="000D22D5" w:rsidRDefault="00D37307" w:rsidP="00D37307">
            <w:pPr>
              <w:numPr>
                <w:ilvl w:val="0"/>
                <w:numId w:val="6"/>
              </w:numPr>
              <w:jc w:val="both"/>
              <w:rPr>
                <w:rFonts w:ascii="Arial" w:hAnsi="Arial" w:cs="Arial"/>
                <w:bCs/>
                <w:sz w:val="22"/>
                <w:szCs w:val="22"/>
                <w:lang w:val="en-AU"/>
              </w:rPr>
            </w:pPr>
            <w:r w:rsidRPr="000D22D5">
              <w:rPr>
                <w:rFonts w:ascii="Arial" w:hAnsi="Arial" w:cs="Arial"/>
                <w:bCs/>
                <w:sz w:val="22"/>
                <w:szCs w:val="22"/>
                <w:lang w:val="en-AU"/>
              </w:rPr>
              <w:t>The adaptation gap is a cumulative and evolving challenge, influenced by multiple interacting factors such as knowledge accessibility, governance structures, and professional incentives.</w:t>
            </w:r>
          </w:p>
          <w:p w14:paraId="1743D3B1" w14:textId="77777777" w:rsidR="00D37307" w:rsidRPr="000D22D5" w:rsidRDefault="00D37307" w:rsidP="00D37307">
            <w:pPr>
              <w:numPr>
                <w:ilvl w:val="0"/>
                <w:numId w:val="6"/>
              </w:numPr>
              <w:jc w:val="both"/>
              <w:rPr>
                <w:rFonts w:ascii="Arial" w:hAnsi="Arial" w:cs="Arial"/>
                <w:bCs/>
                <w:sz w:val="22"/>
                <w:szCs w:val="22"/>
                <w:lang w:val="en-AU"/>
              </w:rPr>
            </w:pPr>
            <w:r w:rsidRPr="000D22D5">
              <w:rPr>
                <w:rFonts w:ascii="Arial" w:hAnsi="Arial" w:cs="Arial"/>
                <w:bCs/>
                <w:sz w:val="22"/>
                <w:szCs w:val="22"/>
                <w:lang w:val="en-AU"/>
              </w:rPr>
              <w:t>Key drivers of the gap include lack of translation mechanisms, fragmented institutional structures, limited capacity-building efforts, and insufficient financial support.</w:t>
            </w:r>
          </w:p>
          <w:p w14:paraId="201CE7BF" w14:textId="77777777" w:rsidR="00D37307" w:rsidRPr="000D22D5" w:rsidRDefault="00D37307" w:rsidP="00D37307">
            <w:pPr>
              <w:numPr>
                <w:ilvl w:val="0"/>
                <w:numId w:val="6"/>
              </w:numPr>
              <w:jc w:val="both"/>
              <w:rPr>
                <w:rFonts w:ascii="Arial" w:hAnsi="Arial" w:cs="Arial"/>
                <w:bCs/>
                <w:sz w:val="22"/>
                <w:szCs w:val="22"/>
                <w:lang w:val="en-AU"/>
              </w:rPr>
            </w:pPr>
            <w:r w:rsidRPr="000D22D5">
              <w:rPr>
                <w:rFonts w:ascii="Arial" w:hAnsi="Arial" w:cs="Arial"/>
                <w:bCs/>
                <w:sz w:val="22"/>
                <w:szCs w:val="22"/>
                <w:lang w:val="en-AU"/>
              </w:rPr>
              <w:t>Solutions must be systemic and iterative, emphasizing stakeholder collaboration, knowledge co-production, and mechanisms for continuous learning and adaptation.</w:t>
            </w:r>
          </w:p>
          <w:p w14:paraId="0FF357F1" w14:textId="77777777" w:rsidR="00D37307" w:rsidRPr="000D22D5" w:rsidRDefault="00D37307" w:rsidP="00D37307">
            <w:pPr>
              <w:numPr>
                <w:ilvl w:val="0"/>
                <w:numId w:val="6"/>
              </w:numPr>
              <w:jc w:val="both"/>
              <w:rPr>
                <w:rFonts w:ascii="Arial" w:hAnsi="Arial" w:cs="Arial"/>
                <w:bCs/>
                <w:sz w:val="22"/>
                <w:szCs w:val="22"/>
                <w:lang w:val="en-AU"/>
              </w:rPr>
            </w:pPr>
            <w:r w:rsidRPr="000D22D5">
              <w:rPr>
                <w:rFonts w:ascii="Arial" w:hAnsi="Arial" w:cs="Arial"/>
                <w:bCs/>
                <w:sz w:val="22"/>
                <w:szCs w:val="22"/>
                <w:lang w:val="en-AU"/>
              </w:rPr>
              <w:t>Addressing the gap requires a shift from a static understanding of adaptation to a dynamic and reflexive process where theory informs practice and practice refines theory.</w:t>
            </w:r>
          </w:p>
          <w:p w14:paraId="065DBBEE" w14:textId="77777777" w:rsidR="006E350F" w:rsidRDefault="006E350F" w:rsidP="00D37307">
            <w:pPr>
              <w:jc w:val="both"/>
              <w:rPr>
                <w:rFonts w:ascii="Arial" w:hAnsi="Arial" w:cs="Arial"/>
                <w:b/>
                <w:bCs/>
                <w:sz w:val="22"/>
                <w:szCs w:val="22"/>
                <w:lang w:val="en-AU"/>
              </w:rPr>
            </w:pPr>
          </w:p>
          <w:p w14:paraId="05816BF5" w14:textId="1B361F5C" w:rsidR="00D37307" w:rsidRPr="000D22D5" w:rsidRDefault="00D37307" w:rsidP="00D37307">
            <w:pPr>
              <w:jc w:val="both"/>
              <w:rPr>
                <w:rFonts w:ascii="Arial" w:hAnsi="Arial" w:cs="Arial"/>
                <w:bCs/>
                <w:sz w:val="22"/>
                <w:szCs w:val="22"/>
                <w:lang w:val="en-AU"/>
              </w:rPr>
            </w:pPr>
            <w:r w:rsidRPr="000D22D5">
              <w:rPr>
                <w:rFonts w:ascii="Arial" w:hAnsi="Arial" w:cs="Arial"/>
                <w:b/>
                <w:bCs/>
                <w:sz w:val="22"/>
                <w:szCs w:val="22"/>
                <w:lang w:val="en-AU"/>
              </w:rPr>
              <w:t>Significance of the Work for Policy and Practice</w:t>
            </w:r>
          </w:p>
          <w:p w14:paraId="51173A58" w14:textId="77777777" w:rsidR="00D37307" w:rsidRPr="000D22D5" w:rsidRDefault="00D37307" w:rsidP="00D37307">
            <w:pPr>
              <w:jc w:val="both"/>
              <w:rPr>
                <w:rFonts w:ascii="Arial" w:hAnsi="Arial" w:cs="Arial"/>
                <w:bCs/>
                <w:sz w:val="22"/>
                <w:szCs w:val="22"/>
                <w:lang w:val="en-AU"/>
              </w:rPr>
            </w:pPr>
            <w:r w:rsidRPr="000D22D5">
              <w:rPr>
                <w:rFonts w:ascii="Arial" w:hAnsi="Arial" w:cs="Arial"/>
                <w:bCs/>
                <w:sz w:val="22"/>
                <w:szCs w:val="22"/>
                <w:lang w:val="en-AU"/>
              </w:rPr>
              <w:t>The findings of this study offer a roadmap for enhancing adaptation effectiveness by improving knowledge integration and application. The framework supports policymakers in designing adaptive governance mechanisms, assists practitioners in overcoming institutional barriers, and provides researchers with insights into more actionable adaptation theories. By fostering collaboration across disciplines and sectors, this work contributes to building resilient and adaptive societies in the face of climate change.</w:t>
            </w:r>
          </w:p>
          <w:p w14:paraId="43CB2428" w14:textId="77777777" w:rsidR="00BE58D6" w:rsidRPr="000D22D5" w:rsidRDefault="00BE58D6" w:rsidP="00706DED">
            <w:pPr>
              <w:jc w:val="both"/>
              <w:rPr>
                <w:rFonts w:ascii="Arial" w:hAnsi="Arial" w:cs="Arial"/>
                <w:b/>
                <w:sz w:val="22"/>
                <w:szCs w:val="22"/>
                <w:lang w:val="en-AU"/>
              </w:rPr>
            </w:pPr>
          </w:p>
          <w:p w14:paraId="2CBAECD6" w14:textId="729DADBB" w:rsidR="009F4EA0" w:rsidRPr="000D22D5" w:rsidRDefault="009F4EA0" w:rsidP="00706DED">
            <w:pPr>
              <w:jc w:val="both"/>
              <w:rPr>
                <w:rFonts w:ascii="Arial" w:hAnsi="Arial" w:cs="Arial"/>
                <w:b/>
                <w:sz w:val="22"/>
                <w:szCs w:val="22"/>
              </w:rPr>
            </w:pPr>
          </w:p>
        </w:tc>
      </w:tr>
    </w:tbl>
    <w:p w14:paraId="14FC3BE1" w14:textId="1ED2D544" w:rsidR="00C8423A" w:rsidRPr="000D22D5" w:rsidRDefault="00C8423A" w:rsidP="00375B20">
      <w:pPr>
        <w:tabs>
          <w:tab w:val="left" w:pos="8931"/>
        </w:tabs>
        <w:rPr>
          <w:rFonts w:ascii="Arial" w:hAnsi="Arial" w:cs="Arial"/>
          <w:sz w:val="22"/>
          <w:szCs w:val="22"/>
        </w:rPr>
      </w:pPr>
    </w:p>
    <w:p w14:paraId="15AC9FEF" w14:textId="15B67474" w:rsidR="009010B0" w:rsidRPr="000D22D5" w:rsidRDefault="009010B0" w:rsidP="00247C60">
      <w:pPr>
        <w:rPr>
          <w:rFonts w:ascii="Arial" w:hAnsi="Arial" w:cs="Arial"/>
          <w:sz w:val="22"/>
          <w:szCs w:val="22"/>
        </w:rPr>
      </w:pPr>
    </w:p>
    <w:sectPr w:rsidR="009010B0" w:rsidRPr="000D22D5"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A7A9D"/>
    <w:multiLevelType w:val="multilevel"/>
    <w:tmpl w:val="6AE06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983C91"/>
    <w:multiLevelType w:val="multilevel"/>
    <w:tmpl w:val="A608E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32268B7"/>
    <w:multiLevelType w:val="multilevel"/>
    <w:tmpl w:val="24B81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2"/>
  </w:num>
  <w:num w:numId="2" w16cid:durableId="1027095654">
    <w:abstractNumId w:val="5"/>
  </w:num>
  <w:num w:numId="3" w16cid:durableId="1316374630">
    <w:abstractNumId w:val="3"/>
  </w:num>
  <w:num w:numId="4" w16cid:durableId="731927833">
    <w:abstractNumId w:val="1"/>
  </w:num>
  <w:num w:numId="5" w16cid:durableId="1823236686">
    <w:abstractNumId w:val="4"/>
  </w:num>
  <w:num w:numId="6" w16cid:durableId="1527786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63F4E"/>
    <w:rsid w:val="000D22D5"/>
    <w:rsid w:val="00105E39"/>
    <w:rsid w:val="00132AE5"/>
    <w:rsid w:val="00155315"/>
    <w:rsid w:val="00247C60"/>
    <w:rsid w:val="00256963"/>
    <w:rsid w:val="002C6C69"/>
    <w:rsid w:val="002E0943"/>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6B5300"/>
    <w:rsid w:val="006E350F"/>
    <w:rsid w:val="006F3A78"/>
    <w:rsid w:val="007428AE"/>
    <w:rsid w:val="007D3D98"/>
    <w:rsid w:val="008235E8"/>
    <w:rsid w:val="008773DF"/>
    <w:rsid w:val="008B01BA"/>
    <w:rsid w:val="008B50A0"/>
    <w:rsid w:val="008C0C35"/>
    <w:rsid w:val="008C22AD"/>
    <w:rsid w:val="008C2633"/>
    <w:rsid w:val="008E3D8D"/>
    <w:rsid w:val="008F2F93"/>
    <w:rsid w:val="009010B0"/>
    <w:rsid w:val="00906B39"/>
    <w:rsid w:val="00963443"/>
    <w:rsid w:val="009C374A"/>
    <w:rsid w:val="009F4EA0"/>
    <w:rsid w:val="00A84603"/>
    <w:rsid w:val="00B026E8"/>
    <w:rsid w:val="00B03A48"/>
    <w:rsid w:val="00B57828"/>
    <w:rsid w:val="00BA0872"/>
    <w:rsid w:val="00BA26BB"/>
    <w:rsid w:val="00BC6810"/>
    <w:rsid w:val="00BE0B4D"/>
    <w:rsid w:val="00BE58D6"/>
    <w:rsid w:val="00C26081"/>
    <w:rsid w:val="00C4126D"/>
    <w:rsid w:val="00C76C99"/>
    <w:rsid w:val="00C8423A"/>
    <w:rsid w:val="00CE53FE"/>
    <w:rsid w:val="00D37307"/>
    <w:rsid w:val="00D6708E"/>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NormalWeb">
    <w:name w:val="Normal (Web)"/>
    <w:basedOn w:val="Normal"/>
    <w:uiPriority w:val="99"/>
    <w:semiHidden/>
    <w:unhideWhenUsed/>
    <w:rsid w:val="00B03A48"/>
    <w:pPr>
      <w:spacing w:before="100" w:beforeAutospacing="1" w:after="100" w:afterAutospacing="1"/>
    </w:pPr>
    <w:rPr>
      <w:rFonts w:ascii="Times New Roman" w:eastAsia="Times New Roman" w:hAnsi="Times New Roman" w:cs="Times New Roman"/>
      <w:lang w:val="en-AU" w:eastAsia="en-AU"/>
    </w:rPr>
  </w:style>
  <w:style w:type="character" w:styleId="Hyperlink">
    <w:name w:val="Hyperlink"/>
    <w:basedOn w:val="DefaultParagraphFont"/>
    <w:uiPriority w:val="99"/>
    <w:unhideWhenUsed/>
    <w:rsid w:val="007D3D98"/>
    <w:rPr>
      <w:color w:val="0563C1" w:themeColor="hyperlink"/>
      <w:u w:val="single"/>
    </w:rPr>
  </w:style>
  <w:style w:type="character" w:styleId="UnresolvedMention">
    <w:name w:val="Unresolved Mention"/>
    <w:basedOn w:val="DefaultParagraphFont"/>
    <w:uiPriority w:val="99"/>
    <w:semiHidden/>
    <w:unhideWhenUsed/>
    <w:rsid w:val="007D3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001004679">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1841386806">
      <w:bodyDiv w:val="1"/>
      <w:marLeft w:val="0"/>
      <w:marRight w:val="0"/>
      <w:marTop w:val="0"/>
      <w:marBottom w:val="0"/>
      <w:divBdr>
        <w:top w:val="none" w:sz="0" w:space="0" w:color="auto"/>
        <w:left w:val="none" w:sz="0" w:space="0" w:color="auto"/>
        <w:bottom w:val="none" w:sz="0" w:space="0" w:color="auto"/>
        <w:right w:val="none" w:sz="0" w:space="0" w:color="auto"/>
      </w:divBdr>
    </w:div>
    <w:div w:id="187715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221209632300093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66EB5-6F7E-47ED-B225-6010EC69C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purl.org/dc/terms/"/>
    <ds:schemaRef ds:uri="http://schemas.microsoft.com/office/infopath/2007/PartnerControls"/>
    <ds:schemaRef ds:uri="http://purl.org/dc/dcmitype/"/>
    <ds:schemaRef ds:uri="http://schemas.openxmlformats.org/package/2006/metadata/core-properties"/>
    <ds:schemaRef ds:uri="6911e96c-4cc4-42d5-8e43-f93924cf6a05"/>
    <ds:schemaRef ds:uri="http://purl.org/dc/elements/1.1/"/>
    <ds:schemaRef ds:uri="http://schemas.microsoft.com/office/2006/metadata/properties"/>
    <ds:schemaRef ds:uri="http://schemas.microsoft.com/office/2006/documentManagement/types"/>
    <ds:schemaRef ds:uri="cab52c9b-ab33-4221-8af9-54f8f2b86a80"/>
    <ds:schemaRef ds:uri="9c8a2b7b-0bee-4c48-b0a6-23db8982d3bc"/>
    <ds:schemaRef ds:uri="http://www.w3.org/XML/1998/namespace"/>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569</Words>
  <Characters>3895</Characters>
  <Application>Microsoft Office Word</Application>
  <DocSecurity>0</DocSecurity>
  <Lines>32</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14</cp:revision>
  <dcterms:created xsi:type="dcterms:W3CDTF">2024-09-16T20:56:00Z</dcterms:created>
  <dcterms:modified xsi:type="dcterms:W3CDTF">2025-08-08T05:16:00Z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