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7D9B" w14:textId="70347D25" w:rsidR="008427FA" w:rsidRPr="00DC117F" w:rsidRDefault="00DC117F" w:rsidP="008427FA">
      <w:pPr>
        <w:rPr>
          <w:rFonts w:ascii="Arial" w:hAnsi="Arial" w:cs="Arial"/>
          <w:b/>
          <w:bCs/>
        </w:rPr>
      </w:pPr>
      <w:r w:rsidRPr="00DC117F">
        <w:rPr>
          <w:rFonts w:ascii="Arial" w:hAnsi="Arial" w:cs="Arial"/>
          <w:b/>
          <w:bCs/>
        </w:rPr>
        <w:t>Multiplex Immune Monitoring Predicts Graft Rejection in Porcine Islet Xenotransplantation</w:t>
      </w:r>
    </w:p>
    <w:p w14:paraId="77B44341" w14:textId="77777777" w:rsidR="00CB5B1C" w:rsidRDefault="00CB5B1C" w:rsidP="00CB5B1C">
      <w:pPr>
        <w:rPr>
          <w:rFonts w:ascii="Arial" w:eastAsia="Times New Roman" w:hAnsi="Arial" w:cs="Arial"/>
          <w:i/>
          <w:iCs/>
          <w:lang w:eastAsia="en-NZ"/>
        </w:rPr>
      </w:pPr>
    </w:p>
    <w:p w14:paraId="2F193E5E" w14:textId="16A2E16B" w:rsidR="00A35092" w:rsidRPr="00A35092" w:rsidRDefault="00A35092" w:rsidP="00A35092">
      <w:pPr>
        <w:rPr>
          <w:rFonts w:ascii="Arial" w:eastAsia="Times New Roman" w:hAnsi="Arial" w:cs="Arial"/>
          <w:lang w:val="en-AU" w:eastAsia="en-NZ"/>
        </w:rPr>
      </w:pPr>
      <w:r w:rsidRPr="00A35092">
        <w:rPr>
          <w:rFonts w:ascii="Arial" w:eastAsia="Times New Roman" w:hAnsi="Arial" w:cs="Arial"/>
          <w:b/>
          <w:bCs/>
          <w:lang w:val="en-AU" w:eastAsia="en-NZ"/>
        </w:rPr>
        <w:t>Aim:</w:t>
      </w:r>
      <w:r w:rsidR="00422149">
        <w:rPr>
          <w:rFonts w:ascii="Arial" w:eastAsia="Times New Roman" w:hAnsi="Arial" w:cs="Arial"/>
          <w:lang w:val="en-AU" w:eastAsia="en-NZ"/>
        </w:rPr>
        <w:t xml:space="preserve"> </w:t>
      </w:r>
      <w:r w:rsidRPr="00A35092">
        <w:rPr>
          <w:rFonts w:ascii="Arial" w:eastAsia="Times New Roman" w:hAnsi="Arial" w:cs="Arial"/>
          <w:lang w:val="en-AU" w:eastAsia="en-NZ"/>
        </w:rPr>
        <w:t>Islet xenotransplantation is a promising therapy for Type 1 Diabetes, but acute rejection and rejection after immunosuppression withdrawal remain major barriers to durable graft function. This study aimed to monitor immune profiles in xeno-islet recipients to assess the efficacy of immunosuppressive regimen and detect early immune activation predictive of graft rejection.</w:t>
      </w:r>
    </w:p>
    <w:p w14:paraId="767A79BB" w14:textId="01AE89FC" w:rsidR="00A35092" w:rsidRPr="00A35092" w:rsidRDefault="00A35092" w:rsidP="00A35092">
      <w:pPr>
        <w:rPr>
          <w:rFonts w:ascii="Arial" w:eastAsia="Times New Roman" w:hAnsi="Arial" w:cs="Arial"/>
          <w:lang w:val="en-AU" w:eastAsia="en-NZ"/>
        </w:rPr>
      </w:pPr>
      <w:r w:rsidRPr="00A35092">
        <w:rPr>
          <w:rFonts w:ascii="Arial" w:eastAsia="Times New Roman" w:hAnsi="Arial" w:cs="Arial"/>
          <w:b/>
          <w:bCs/>
          <w:lang w:val="en-AU" w:eastAsia="en-NZ"/>
        </w:rPr>
        <w:t>Methods:</w:t>
      </w:r>
      <w:r w:rsidR="00422149">
        <w:rPr>
          <w:rFonts w:ascii="Arial" w:eastAsia="Times New Roman" w:hAnsi="Arial" w:cs="Arial"/>
          <w:lang w:val="en-AU" w:eastAsia="en-NZ"/>
        </w:rPr>
        <w:t xml:space="preserve"> </w:t>
      </w:r>
      <w:r w:rsidRPr="00A35092">
        <w:rPr>
          <w:rFonts w:ascii="Arial" w:eastAsia="Times New Roman" w:hAnsi="Arial" w:cs="Arial"/>
          <w:lang w:val="en-AU" w:eastAsia="en-NZ"/>
        </w:rPr>
        <w:t xml:space="preserve">Porcine neonatal islet cell clusters (NICC) from GTKO-hCD55-hCD59 transgenic pigs were transplanted into streptozotocin-induced diabetic baboons (n=10). All recipients received anti-CD2 induction and maintenance therapy with anti-CD154 and Belatacept. Tacrolimus </w:t>
      </w:r>
      <w:r w:rsidR="00747CBA" w:rsidRPr="00A35092">
        <w:rPr>
          <w:rFonts w:ascii="Arial" w:eastAsia="Times New Roman" w:hAnsi="Arial" w:cs="Arial"/>
          <w:lang w:val="en-AU" w:eastAsia="en-NZ"/>
        </w:rPr>
        <w:t>dos</w:t>
      </w:r>
      <w:r w:rsidR="00747CBA">
        <w:rPr>
          <w:rFonts w:ascii="Arial" w:eastAsia="Times New Roman" w:hAnsi="Arial" w:cs="Arial"/>
          <w:lang w:val="en-AU" w:eastAsia="en-NZ"/>
        </w:rPr>
        <w:t>es</w:t>
      </w:r>
      <w:r w:rsidR="00747CBA" w:rsidRPr="00A35092">
        <w:rPr>
          <w:rFonts w:ascii="Arial" w:eastAsia="Times New Roman" w:hAnsi="Arial" w:cs="Arial"/>
          <w:lang w:val="en-AU" w:eastAsia="en-NZ"/>
        </w:rPr>
        <w:t xml:space="preserve"> </w:t>
      </w:r>
      <w:r w:rsidRPr="00A35092">
        <w:rPr>
          <w:rFonts w:ascii="Arial" w:eastAsia="Times New Roman" w:hAnsi="Arial" w:cs="Arial"/>
          <w:lang w:val="en-AU" w:eastAsia="en-NZ"/>
        </w:rPr>
        <w:t>varied: full-dose (n=7) or reduced/no dose (n=3). Circulating leukocyte subsets were monitored for absolute counts and activation status using multiplex, multi-panel flow cytometry. NICC function was assessed through daily blood glucose monitoring, monthly glucose tolerance tests with porcine C-peptide quantified by ELISA, and histological evaluation of liver biopsy and endpoint graft tissues.</w:t>
      </w:r>
    </w:p>
    <w:p w14:paraId="539CF61D" w14:textId="39EBC65B" w:rsidR="00A35092" w:rsidRPr="00A35092" w:rsidRDefault="00A35092" w:rsidP="00A35092">
      <w:pPr>
        <w:rPr>
          <w:rFonts w:ascii="Arial" w:eastAsia="Times New Roman" w:hAnsi="Arial" w:cs="Arial"/>
          <w:lang w:val="en-AU" w:eastAsia="en-NZ"/>
        </w:rPr>
      </w:pPr>
      <w:r w:rsidRPr="00A35092">
        <w:rPr>
          <w:rFonts w:ascii="Arial" w:eastAsia="Times New Roman" w:hAnsi="Arial" w:cs="Arial"/>
          <w:b/>
          <w:bCs/>
          <w:lang w:val="en-AU" w:eastAsia="en-NZ"/>
        </w:rPr>
        <w:t>Results:</w:t>
      </w:r>
      <w:r w:rsidR="00422149">
        <w:rPr>
          <w:rFonts w:ascii="Arial" w:eastAsia="Times New Roman" w:hAnsi="Arial" w:cs="Arial"/>
          <w:lang w:val="en-AU" w:eastAsia="en-NZ"/>
        </w:rPr>
        <w:t xml:space="preserve"> </w:t>
      </w:r>
      <w:r w:rsidRPr="00A35092">
        <w:rPr>
          <w:rFonts w:ascii="Arial" w:eastAsia="Times New Roman" w:hAnsi="Arial" w:cs="Arial"/>
          <w:lang w:val="en-AU" w:eastAsia="en-NZ"/>
        </w:rPr>
        <w:t xml:space="preserve">Porcine C-peptide was detected in all 10 recipients, confirming functional engraftment. Seven recipients on full-dose Tacrolimus maintained NICC function for up to 675 days. In contrast, three recipients with reduced/no Tacrolimus </w:t>
      </w:r>
      <w:r w:rsidR="00747CBA">
        <w:rPr>
          <w:rFonts w:ascii="Arial" w:eastAsia="Times New Roman" w:hAnsi="Arial" w:cs="Arial"/>
          <w:lang w:val="en-AU" w:eastAsia="en-NZ"/>
        </w:rPr>
        <w:t>underwent</w:t>
      </w:r>
      <w:r w:rsidRPr="00A35092">
        <w:rPr>
          <w:rFonts w:ascii="Arial" w:eastAsia="Times New Roman" w:hAnsi="Arial" w:cs="Arial"/>
          <w:lang w:val="en-AU" w:eastAsia="en-NZ"/>
        </w:rPr>
        <w:t xml:space="preserve"> rejection within two months. Among long-term recipients, two experienced rejection following systemic inflammatory events. Flow cytometry with IVD BD TruCount produced absolute leukocyte counts equivalent to standard full blood counts (Deming regression slope 0.91–1.03, 95% CI, p&lt;0.001), while requiring substantially less time (≈50±15 vs 150±30 minutes) and smaller blood volumes (50 µl vs ~500 µl). T-cell suppression following anti-CD2 induction was evident, with reduced unoccupied surface CD2 on circulating T cells (mean 73.21%, range 55.26–91.16%, p&lt;0.001). Early T-cell suppression during the first month correlated with long-term NICC survival (36.47%, 13.35–50.75%) versus acute rejection (176.28%, 171.26–181.31%).</w:t>
      </w:r>
    </w:p>
    <w:p w14:paraId="484FA34F" w14:textId="4ACEF565" w:rsidR="00830A4D" w:rsidRPr="007244F0" w:rsidRDefault="00A35092" w:rsidP="00200E0D">
      <w:pPr>
        <w:rPr>
          <w:rFonts w:ascii="Arial" w:hAnsi="Arial" w:cs="Arial"/>
        </w:rPr>
      </w:pPr>
      <w:r w:rsidRPr="00A35092">
        <w:rPr>
          <w:rFonts w:ascii="Arial" w:eastAsia="Times New Roman" w:hAnsi="Arial" w:cs="Arial"/>
          <w:b/>
          <w:bCs/>
          <w:lang w:val="en-AU" w:eastAsia="en-NZ"/>
        </w:rPr>
        <w:t>Conclusion:</w:t>
      </w:r>
      <w:r w:rsidR="002C25DF">
        <w:rPr>
          <w:rFonts w:ascii="Arial" w:eastAsia="Times New Roman" w:hAnsi="Arial" w:cs="Arial"/>
          <w:b/>
          <w:bCs/>
          <w:lang w:val="en-AU" w:eastAsia="en-NZ"/>
        </w:rPr>
        <w:t xml:space="preserve"> </w:t>
      </w:r>
      <w:r w:rsidR="002C25DF" w:rsidRPr="00D50125">
        <w:rPr>
          <w:rFonts w:ascii="Arial" w:eastAsia="Times New Roman" w:hAnsi="Arial" w:cs="Arial"/>
          <w:lang w:val="en-AU" w:eastAsia="en-NZ"/>
        </w:rPr>
        <w:t xml:space="preserve">This study demonstrates </w:t>
      </w:r>
      <w:r w:rsidR="00747CBA">
        <w:rPr>
          <w:rFonts w:ascii="Arial" w:eastAsia="Times New Roman" w:hAnsi="Arial" w:cs="Arial"/>
          <w:lang w:val="en-AU" w:eastAsia="en-NZ"/>
        </w:rPr>
        <w:t xml:space="preserve">that we can </w:t>
      </w:r>
      <w:r w:rsidR="00747CBA" w:rsidRPr="00D50125">
        <w:rPr>
          <w:rFonts w:ascii="Arial" w:eastAsia="Times New Roman" w:hAnsi="Arial" w:cs="Arial"/>
          <w:lang w:val="en-AU" w:eastAsia="en-NZ"/>
        </w:rPr>
        <w:t>reliabl</w:t>
      </w:r>
      <w:r w:rsidR="00747CBA">
        <w:rPr>
          <w:rFonts w:ascii="Arial" w:eastAsia="Times New Roman" w:hAnsi="Arial" w:cs="Arial"/>
          <w:lang w:val="en-AU" w:eastAsia="en-NZ"/>
        </w:rPr>
        <w:t>y use</w:t>
      </w:r>
      <w:r w:rsidR="00747CBA" w:rsidRPr="00D50125">
        <w:rPr>
          <w:rFonts w:ascii="Arial" w:eastAsia="Times New Roman" w:hAnsi="Arial" w:cs="Arial"/>
          <w:lang w:val="en-AU" w:eastAsia="en-NZ"/>
        </w:rPr>
        <w:t xml:space="preserve"> </w:t>
      </w:r>
      <w:r w:rsidR="002C25DF" w:rsidRPr="00D50125">
        <w:rPr>
          <w:rFonts w:ascii="Arial" w:eastAsia="Times New Roman" w:hAnsi="Arial" w:cs="Arial"/>
          <w:lang w:val="en-AU" w:eastAsia="en-NZ"/>
        </w:rPr>
        <w:t xml:space="preserve">flow cytometry for assessing immune status in xeno-islet recipients and </w:t>
      </w:r>
      <w:r w:rsidR="00747CBA">
        <w:rPr>
          <w:rFonts w:ascii="Arial" w:eastAsia="Times New Roman" w:hAnsi="Arial" w:cs="Arial"/>
          <w:lang w:val="en-AU" w:eastAsia="en-NZ"/>
        </w:rPr>
        <w:t xml:space="preserve">it has </w:t>
      </w:r>
      <w:r w:rsidR="002C25DF" w:rsidRPr="00D50125">
        <w:rPr>
          <w:rFonts w:ascii="Arial" w:eastAsia="Times New Roman" w:hAnsi="Arial" w:cs="Arial"/>
          <w:lang w:val="en-AU" w:eastAsia="en-NZ"/>
        </w:rPr>
        <w:t>the potential to predict and prevent early graft rejection.</w:t>
      </w: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7608B"/>
    <w:rsid w:val="00186544"/>
    <w:rsid w:val="001D0109"/>
    <w:rsid w:val="00200E0D"/>
    <w:rsid w:val="0028124D"/>
    <w:rsid w:val="002B6516"/>
    <w:rsid w:val="002C25DF"/>
    <w:rsid w:val="002F7239"/>
    <w:rsid w:val="00325AE6"/>
    <w:rsid w:val="00360CBD"/>
    <w:rsid w:val="00376B39"/>
    <w:rsid w:val="003C4E5A"/>
    <w:rsid w:val="00422149"/>
    <w:rsid w:val="004E09DD"/>
    <w:rsid w:val="005E549B"/>
    <w:rsid w:val="007244F0"/>
    <w:rsid w:val="00747CBA"/>
    <w:rsid w:val="00830A4D"/>
    <w:rsid w:val="008427FA"/>
    <w:rsid w:val="008953CF"/>
    <w:rsid w:val="008C2895"/>
    <w:rsid w:val="00927C90"/>
    <w:rsid w:val="009A582D"/>
    <w:rsid w:val="009C3621"/>
    <w:rsid w:val="009D79DB"/>
    <w:rsid w:val="00A334C0"/>
    <w:rsid w:val="00A35092"/>
    <w:rsid w:val="00A70F09"/>
    <w:rsid w:val="00A85759"/>
    <w:rsid w:val="00B50507"/>
    <w:rsid w:val="00BA2C0B"/>
    <w:rsid w:val="00BC73E4"/>
    <w:rsid w:val="00C90984"/>
    <w:rsid w:val="00CB5B1C"/>
    <w:rsid w:val="00D50125"/>
    <w:rsid w:val="00D56368"/>
    <w:rsid w:val="00D96464"/>
    <w:rsid w:val="00DA5293"/>
    <w:rsid w:val="00DC117F"/>
    <w:rsid w:val="00DD0D64"/>
    <w:rsid w:val="00DF0387"/>
    <w:rsid w:val="00F6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paragraph" w:styleId="Revision">
    <w:name w:val="Revision"/>
    <w:hidden/>
    <w:uiPriority w:val="99"/>
    <w:semiHidden/>
    <w:rsid w:val="0074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B3B1A3F0-E0B9-43C3-A645-4D232B4A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2016</Characters>
  <Application>Microsoft Office Word</Application>
  <DocSecurity>0</DocSecurity>
  <Lines>67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Thanh Le</cp:lastModifiedBy>
  <cp:revision>3</cp:revision>
  <dcterms:created xsi:type="dcterms:W3CDTF">2026-03-16T03:14:00Z</dcterms:created>
  <dcterms:modified xsi:type="dcterms:W3CDTF">2026-03-16T03:14:00Z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