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0"/>
      </w:tblGrid>
      <w:tr w:rsidR="001564A4" w:rsidRPr="0050053A" w14:paraId="5C38377B" w14:textId="77777777" w:rsidTr="001D7F06">
        <w:trPr>
          <w:trHeight w:val="669"/>
          <w:jc w:val="center"/>
        </w:trPr>
        <w:tc>
          <w:tcPr>
            <w:tcW w:w="8490" w:type="dxa"/>
            <w:shd w:val="clear" w:color="auto" w:fill="auto"/>
          </w:tcPr>
          <w:p w14:paraId="5C44F357" w14:textId="33E36CDB" w:rsidR="001564A4" w:rsidRPr="003C70F1" w:rsidRDefault="003C70F1" w:rsidP="000A28E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SG" w:eastAsia="en-GB"/>
              </w:rPr>
            </w:pPr>
            <w:r w:rsidRPr="003C70F1">
              <w:rPr>
                <w:rFonts w:ascii="Arial" w:hAnsi="Arial" w:cs="Arial"/>
                <w:b/>
                <w:bCs/>
                <w:sz w:val="22"/>
                <w:szCs w:val="22"/>
                <w:lang w:val="en-SG" w:eastAsia="en-GB"/>
              </w:rPr>
              <w:t xml:space="preserve">Risk factors </w:t>
            </w:r>
            <w:r w:rsidR="00E55B5A">
              <w:rPr>
                <w:rFonts w:ascii="Arial" w:hAnsi="Arial" w:cs="Arial"/>
                <w:b/>
                <w:bCs/>
                <w:sz w:val="22"/>
                <w:szCs w:val="22"/>
                <w:lang w:val="en-SG" w:eastAsia="en-GB"/>
              </w:rPr>
              <w:t xml:space="preserve">for </w:t>
            </w:r>
            <w:r w:rsidRPr="003C70F1">
              <w:rPr>
                <w:rFonts w:ascii="Arial" w:hAnsi="Arial" w:cs="Arial"/>
                <w:b/>
                <w:bCs/>
                <w:sz w:val="22"/>
                <w:szCs w:val="22"/>
                <w:lang w:val="en-SG" w:eastAsia="en-GB"/>
              </w:rPr>
              <w:t xml:space="preserve">RSV </w:t>
            </w:r>
            <w:r w:rsidR="00247148">
              <w:rPr>
                <w:rFonts w:ascii="Arial" w:hAnsi="Arial" w:cs="Arial"/>
                <w:b/>
                <w:bCs/>
                <w:sz w:val="22"/>
                <w:szCs w:val="22"/>
                <w:lang w:val="en-SG" w:eastAsia="en-GB"/>
              </w:rPr>
              <w:t>I</w:t>
            </w:r>
            <w:r w:rsidR="0024704A" w:rsidRPr="003C70F1">
              <w:rPr>
                <w:rFonts w:ascii="Arial" w:hAnsi="Arial" w:cs="Arial"/>
                <w:b/>
                <w:bCs/>
                <w:sz w:val="22"/>
                <w:szCs w:val="22"/>
                <w:lang w:val="en-SG" w:eastAsia="en-GB"/>
              </w:rPr>
              <w:t xml:space="preserve">CU admission </w:t>
            </w:r>
            <w:r w:rsidRPr="003C70F1">
              <w:rPr>
                <w:rFonts w:ascii="Arial" w:hAnsi="Arial" w:cs="Arial"/>
                <w:b/>
                <w:bCs/>
                <w:sz w:val="22"/>
                <w:szCs w:val="22"/>
                <w:lang w:val="en-SG" w:eastAsia="en-GB"/>
              </w:rPr>
              <w:t xml:space="preserve">in children </w:t>
            </w:r>
            <w:r w:rsidR="00247148">
              <w:rPr>
                <w:rFonts w:ascii="Arial" w:hAnsi="Arial" w:cs="Arial"/>
                <w:b/>
                <w:bCs/>
                <w:sz w:val="22"/>
                <w:szCs w:val="22"/>
                <w:lang w:val="en-SG" w:eastAsia="en-GB"/>
              </w:rPr>
              <w:t>aged&lt;2 years</w:t>
            </w:r>
          </w:p>
        </w:tc>
      </w:tr>
      <w:tr w:rsidR="001564A4" w:rsidRPr="0050053A" w14:paraId="0E2E035C" w14:textId="77777777" w:rsidTr="001D7F06">
        <w:trPr>
          <w:trHeight w:val="669"/>
          <w:jc w:val="center"/>
        </w:trPr>
        <w:tc>
          <w:tcPr>
            <w:tcW w:w="8490" w:type="dxa"/>
            <w:shd w:val="clear" w:color="auto" w:fill="auto"/>
          </w:tcPr>
          <w:p w14:paraId="73B55295" w14:textId="637F3281" w:rsidR="001564A4" w:rsidRPr="00413B94" w:rsidRDefault="003C70F1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Su Ann Lim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Mei Chan</w:t>
            </w:r>
            <w:r w:rsidR="009755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Nan Hu</w:t>
            </w:r>
            <w:r w:rsidR="009755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Louisa Owens</w:t>
            </w:r>
            <w:r w:rsidR="009755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Nusrat Homaira</w:t>
            </w:r>
            <w:r w:rsidR="0097553E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1564A4" w:rsidRPr="0050053A" w14:paraId="385A19D9" w14:textId="77777777" w:rsidTr="001D7F06">
        <w:trPr>
          <w:trHeight w:val="184"/>
          <w:jc w:val="center"/>
        </w:trPr>
        <w:tc>
          <w:tcPr>
            <w:tcW w:w="8490" w:type="dxa"/>
            <w:shd w:val="clear" w:color="auto" w:fill="auto"/>
          </w:tcPr>
          <w:p w14:paraId="1643A330" w14:textId="69AACB4F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7553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Discipline of Paediatrics and Child Health, School of Clinical Medicine, UNSW Sydney </w:t>
            </w:r>
          </w:p>
          <w:p w14:paraId="45ED36BF" w14:textId="1120FD3A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97553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Department, Sydney Children’s Hospital, Randwick, 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6DAF615A" w14:textId="77777777" w:rsidTr="001D7F06">
        <w:trPr>
          <w:trHeight w:hRule="exact" w:val="10182"/>
          <w:jc w:val="center"/>
        </w:trPr>
        <w:tc>
          <w:tcPr>
            <w:tcW w:w="8490" w:type="dxa"/>
            <w:shd w:val="clear" w:color="auto" w:fill="auto"/>
          </w:tcPr>
          <w:p w14:paraId="1CC7F264" w14:textId="77777777" w:rsidR="003C70F1" w:rsidRDefault="001564A4" w:rsidP="003C70F1">
            <w:pPr>
              <w:pStyle w:val="Pa12"/>
              <w:spacing w:line="276" w:lineRule="auto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3D770CF7" w14:textId="04545801" w:rsidR="001564A4" w:rsidRPr="003C70F1" w:rsidRDefault="00EC6045" w:rsidP="00C23353">
            <w:pPr>
              <w:pStyle w:val="Pa12"/>
              <w:spacing w:line="240" w:lineRule="auto"/>
              <w:rPr>
                <w:rStyle w:val="A4"/>
              </w:rPr>
            </w:pPr>
            <w:r>
              <w:rPr>
                <w:color w:val="000000" w:themeColor="text1"/>
                <w:sz w:val="22"/>
                <w:szCs w:val="22"/>
              </w:rPr>
              <w:t>Bronchiolitis is the most common type of acute lower respiratory infection in children aged&lt;2 years</w:t>
            </w:r>
            <w:r w:rsidR="00C23353">
              <w:rPr>
                <w:color w:val="000000" w:themeColor="text1"/>
                <w:sz w:val="22"/>
                <w:szCs w:val="22"/>
              </w:rPr>
              <w:t>, primarily caused by</w:t>
            </w:r>
            <w:r>
              <w:rPr>
                <w:color w:val="000000" w:themeColor="text1"/>
                <w:sz w:val="22"/>
                <w:szCs w:val="22"/>
              </w:rPr>
              <w:t xml:space="preserve"> respiratory syncytial virus (RSV). Currently, there is not enough research on the risk factors for very severe RSV associated bronchiolitis in children aged&lt;2 years necessitating intensive care unit (ICU) admissions in Australia</w:t>
            </w:r>
            <w:r w:rsidR="0097553E">
              <w:rPr>
                <w:color w:val="000000" w:themeColor="text1"/>
                <w:sz w:val="22"/>
                <w:szCs w:val="22"/>
              </w:rPr>
              <w:t xml:space="preserve"> which is needed for </w:t>
            </w:r>
            <w:r w:rsidR="0097553E" w:rsidRPr="0097553E">
              <w:rPr>
                <w:color w:val="000000" w:themeColor="text1"/>
                <w:sz w:val="22"/>
                <w:szCs w:val="22"/>
              </w:rPr>
              <w:t>health service planning, practice, and resource allocation</w:t>
            </w:r>
            <w:r w:rsidR="00C23353">
              <w:rPr>
                <w:color w:val="000000" w:themeColor="text1"/>
                <w:sz w:val="22"/>
                <w:szCs w:val="22"/>
              </w:rPr>
              <w:t>.</w:t>
            </w:r>
          </w:p>
          <w:p w14:paraId="200F05DA" w14:textId="77777777" w:rsidR="003C70F1" w:rsidRDefault="003C70F1" w:rsidP="00C23353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</w:p>
          <w:p w14:paraId="26D579DB" w14:textId="66B099F4" w:rsidR="003C70F1" w:rsidRDefault="001564A4" w:rsidP="00C23353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6FFEF7A0" w:rsidR="001564A4" w:rsidRPr="003C70F1" w:rsidRDefault="00EC6045" w:rsidP="00C23353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>
              <w:rPr>
                <w:color w:val="000000" w:themeColor="text1"/>
                <w:sz w:val="22"/>
                <w:szCs w:val="22"/>
              </w:rPr>
              <w:t>We conducted a</w:t>
            </w:r>
            <w:r w:rsidRPr="00085272">
              <w:rPr>
                <w:color w:val="000000" w:themeColor="text1"/>
                <w:sz w:val="22"/>
                <w:szCs w:val="22"/>
              </w:rPr>
              <w:t xml:space="preserve"> case-control study of children ag</w:t>
            </w:r>
            <w:r>
              <w:rPr>
                <w:color w:val="000000" w:themeColor="text1"/>
                <w:sz w:val="22"/>
                <w:szCs w:val="22"/>
              </w:rPr>
              <w:t>ed&lt;</w:t>
            </w:r>
            <w:r w:rsidRPr="00085272">
              <w:rPr>
                <w:color w:val="000000" w:themeColor="text1"/>
                <w:sz w:val="22"/>
                <w:szCs w:val="22"/>
              </w:rPr>
              <w:t xml:space="preserve">2 years admitted </w:t>
            </w:r>
            <w:r w:rsidR="0097553E">
              <w:rPr>
                <w:color w:val="000000" w:themeColor="text1"/>
                <w:sz w:val="22"/>
                <w:szCs w:val="22"/>
              </w:rPr>
              <w:t xml:space="preserve">with RSV bronchiolitis admitted </w:t>
            </w:r>
            <w:r>
              <w:rPr>
                <w:color w:val="000000" w:themeColor="text1"/>
                <w:sz w:val="22"/>
                <w:szCs w:val="22"/>
              </w:rPr>
              <w:t>to the Sydney Children’s Hospital Network (SCHN</w:t>
            </w:r>
            <w:r w:rsidRPr="003C70F1">
              <w:rPr>
                <w:color w:val="000000" w:themeColor="text1"/>
                <w:sz w:val="22"/>
                <w:szCs w:val="22"/>
              </w:rPr>
              <w:t>)</w:t>
            </w:r>
            <w:r w:rsidR="003C70F1" w:rsidRPr="003C70F1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7553E">
              <w:rPr>
                <w:color w:val="000000" w:themeColor="text1"/>
                <w:sz w:val="22"/>
                <w:szCs w:val="22"/>
              </w:rPr>
              <w:t xml:space="preserve">comprising two large </w:t>
            </w:r>
            <w:r w:rsidR="003C70F1" w:rsidRPr="003C70F1">
              <w:rPr>
                <w:color w:val="000000" w:themeColor="text1"/>
                <w:sz w:val="22"/>
                <w:szCs w:val="22"/>
              </w:rPr>
              <w:t>tertiary paediatric hospital</w:t>
            </w:r>
            <w:r w:rsidR="0097553E">
              <w:rPr>
                <w:color w:val="000000" w:themeColor="text1"/>
                <w:sz w:val="22"/>
                <w:szCs w:val="22"/>
              </w:rPr>
              <w:t>s</w:t>
            </w:r>
            <w:r>
              <w:rPr>
                <w:color w:val="000000" w:themeColor="text1"/>
                <w:sz w:val="22"/>
                <w:szCs w:val="22"/>
              </w:rPr>
              <w:t xml:space="preserve">. Our case population consisted of </w:t>
            </w:r>
            <w:bookmarkStart w:id="1" w:name="_Hlk143753939"/>
            <w:r>
              <w:rPr>
                <w:color w:val="000000" w:themeColor="text1"/>
                <w:sz w:val="22"/>
                <w:szCs w:val="22"/>
              </w:rPr>
              <w:t>children with laboratory-confirmed RSV bronchiolitis</w:t>
            </w:r>
            <w:bookmarkEnd w:id="1"/>
            <w:r>
              <w:rPr>
                <w:color w:val="000000" w:themeColor="text1"/>
                <w:sz w:val="22"/>
                <w:szCs w:val="22"/>
              </w:rPr>
              <w:t xml:space="preserve"> who were </w:t>
            </w:r>
            <w:r w:rsidR="00B175E2">
              <w:rPr>
                <w:color w:val="000000" w:themeColor="text1"/>
                <w:sz w:val="22"/>
                <w:szCs w:val="22"/>
              </w:rPr>
              <w:t xml:space="preserve">transferred </w:t>
            </w:r>
            <w:r>
              <w:rPr>
                <w:color w:val="000000" w:themeColor="text1"/>
                <w:sz w:val="22"/>
                <w:szCs w:val="22"/>
              </w:rPr>
              <w:t xml:space="preserve">to ICU (n=100), and </w:t>
            </w:r>
            <w:r w:rsidR="007014CF">
              <w:rPr>
                <w:color w:val="000000" w:themeColor="text1"/>
                <w:sz w:val="22"/>
                <w:szCs w:val="22"/>
              </w:rPr>
              <w:t xml:space="preserve">our </w:t>
            </w:r>
            <w:r>
              <w:rPr>
                <w:color w:val="000000" w:themeColor="text1"/>
                <w:sz w:val="22"/>
                <w:szCs w:val="22"/>
              </w:rPr>
              <w:t>control</w:t>
            </w:r>
            <w:r w:rsidR="007014CF">
              <w:rPr>
                <w:color w:val="000000" w:themeColor="text1"/>
                <w:sz w:val="22"/>
                <w:szCs w:val="22"/>
              </w:rPr>
              <w:t xml:space="preserve"> population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014CF">
              <w:rPr>
                <w:color w:val="000000" w:themeColor="text1"/>
                <w:sz w:val="22"/>
                <w:szCs w:val="22"/>
              </w:rPr>
              <w:t>was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97553E">
              <w:rPr>
                <w:color w:val="000000" w:themeColor="text1"/>
                <w:sz w:val="22"/>
                <w:szCs w:val="22"/>
              </w:rPr>
              <w:t xml:space="preserve">age-matched (1:2) </w:t>
            </w:r>
            <w:r>
              <w:rPr>
                <w:color w:val="000000" w:themeColor="text1"/>
                <w:sz w:val="22"/>
                <w:szCs w:val="22"/>
              </w:rPr>
              <w:t xml:space="preserve">children </w:t>
            </w:r>
            <w:r w:rsidR="0097553E">
              <w:rPr>
                <w:color w:val="000000" w:themeColor="text1"/>
                <w:sz w:val="22"/>
                <w:szCs w:val="22"/>
              </w:rPr>
              <w:t xml:space="preserve">hospitalised with </w:t>
            </w:r>
            <w:r>
              <w:rPr>
                <w:color w:val="000000" w:themeColor="text1"/>
                <w:sz w:val="22"/>
                <w:szCs w:val="22"/>
              </w:rPr>
              <w:t xml:space="preserve">RSV bronchiolitis but not </w:t>
            </w:r>
            <w:r w:rsidR="0097553E">
              <w:rPr>
                <w:color w:val="000000" w:themeColor="text1"/>
                <w:sz w:val="22"/>
                <w:szCs w:val="22"/>
              </w:rPr>
              <w:t xml:space="preserve">requiring </w:t>
            </w:r>
            <w:r>
              <w:rPr>
                <w:color w:val="000000" w:themeColor="text1"/>
                <w:sz w:val="22"/>
                <w:szCs w:val="22"/>
              </w:rPr>
              <w:t xml:space="preserve">transfer to ICU (n=187). </w:t>
            </w:r>
            <w:r w:rsidR="0097553E">
              <w:rPr>
                <w:color w:val="000000" w:themeColor="text1"/>
                <w:sz w:val="22"/>
                <w:szCs w:val="22"/>
              </w:rPr>
              <w:t>D</w:t>
            </w:r>
            <w:r>
              <w:rPr>
                <w:color w:val="000000" w:themeColor="text1"/>
                <w:sz w:val="22"/>
                <w:szCs w:val="22"/>
              </w:rPr>
              <w:t xml:space="preserve">ata on relevant risk factors </w:t>
            </w:r>
            <w:r w:rsidR="0097553E">
              <w:rPr>
                <w:color w:val="000000" w:themeColor="text1"/>
                <w:sz w:val="22"/>
                <w:szCs w:val="22"/>
              </w:rPr>
              <w:t xml:space="preserve">were retrieved </w:t>
            </w:r>
            <w:r>
              <w:rPr>
                <w:color w:val="000000" w:themeColor="text1"/>
                <w:sz w:val="22"/>
                <w:szCs w:val="22"/>
              </w:rPr>
              <w:t>from the Electronic Medical Record system of SCHN</w:t>
            </w:r>
            <w:r w:rsidRPr="00326435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326435">
              <w:rPr>
                <w:color w:val="000000"/>
                <w:sz w:val="22"/>
                <w:szCs w:val="22"/>
              </w:rPr>
              <w:t>Adjusted and unadjusted odds ratio</w:t>
            </w:r>
            <w:r>
              <w:rPr>
                <w:color w:val="000000"/>
                <w:sz w:val="22"/>
                <w:szCs w:val="22"/>
              </w:rPr>
              <w:t>s</w:t>
            </w:r>
            <w:r w:rsidRPr="00326435">
              <w:rPr>
                <w:color w:val="000000"/>
                <w:sz w:val="22"/>
                <w:szCs w:val="22"/>
              </w:rPr>
              <w:t xml:space="preserve"> (OR</w:t>
            </w:r>
            <w:r>
              <w:rPr>
                <w:color w:val="000000"/>
                <w:sz w:val="22"/>
                <w:szCs w:val="22"/>
              </w:rPr>
              <w:t>s</w:t>
            </w:r>
            <w:r w:rsidRPr="00326435">
              <w:rPr>
                <w:color w:val="000000"/>
                <w:sz w:val="22"/>
                <w:szCs w:val="22"/>
              </w:rPr>
              <w:t>) with corresponding 95% Confidence Interval</w:t>
            </w:r>
            <w:r>
              <w:rPr>
                <w:color w:val="000000"/>
                <w:sz w:val="22"/>
                <w:szCs w:val="22"/>
              </w:rPr>
              <w:t>s</w:t>
            </w:r>
            <w:r w:rsidRPr="00326435">
              <w:rPr>
                <w:color w:val="000000"/>
                <w:sz w:val="22"/>
                <w:szCs w:val="22"/>
              </w:rPr>
              <w:t xml:space="preserve"> (95%CI) </w:t>
            </w:r>
            <w:r>
              <w:rPr>
                <w:color w:val="000000"/>
                <w:sz w:val="22"/>
                <w:szCs w:val="22"/>
              </w:rPr>
              <w:t>associated with risk factors</w:t>
            </w:r>
            <w:r w:rsidR="0097553E">
              <w:rPr>
                <w:color w:val="000000"/>
                <w:sz w:val="22"/>
                <w:szCs w:val="22"/>
              </w:rPr>
              <w:t xml:space="preserve"> for ICU admission</w:t>
            </w:r>
            <w:r>
              <w:rPr>
                <w:color w:val="000000"/>
                <w:sz w:val="22"/>
                <w:szCs w:val="22"/>
              </w:rPr>
              <w:t xml:space="preserve"> and in-hospital complications </w:t>
            </w:r>
            <w:r w:rsidRPr="00326435">
              <w:rPr>
                <w:color w:val="000000"/>
                <w:sz w:val="22"/>
                <w:szCs w:val="22"/>
              </w:rPr>
              <w:t>were determined from logistic regression models.</w:t>
            </w:r>
          </w:p>
          <w:p w14:paraId="3DC5B842" w14:textId="77777777" w:rsidR="003C70F1" w:rsidRDefault="003C70F1" w:rsidP="00C23353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</w:p>
          <w:p w14:paraId="1CEFF4B2" w14:textId="3C8B0EDB" w:rsidR="003C70F1" w:rsidRDefault="001564A4" w:rsidP="00C23353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0C8D01A8" w:rsidR="001564A4" w:rsidRPr="003C70F1" w:rsidRDefault="00B175E2" w:rsidP="00C23353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t xml:space="preserve">A total of </w:t>
            </w:r>
            <w:r w:rsidR="00825E61">
              <w:rPr>
                <w:sz w:val="22"/>
                <w:szCs w:val="22"/>
              </w:rPr>
              <w:t xml:space="preserve">44 (44%) </w:t>
            </w:r>
            <w:r w:rsidR="0097553E">
              <w:rPr>
                <w:sz w:val="22"/>
                <w:szCs w:val="22"/>
              </w:rPr>
              <w:t>of 100 case and 90 (48.1%) of 187 control children were male</w:t>
            </w:r>
            <w:r w:rsidR="006058EE">
              <w:rPr>
                <w:sz w:val="22"/>
                <w:szCs w:val="22"/>
              </w:rPr>
              <w:t xml:space="preserve">. </w:t>
            </w:r>
            <w:r w:rsidR="00EC6045">
              <w:rPr>
                <w:sz w:val="22"/>
                <w:szCs w:val="22"/>
              </w:rPr>
              <w:t xml:space="preserve">Age&lt;5 months and prematurity were associated with a 2.10-fold (95%CI: 1.14-3.79) and 2.35-fold (95%CI: 1.26-4.41) increase </w:t>
            </w:r>
            <w:r w:rsidR="006058EE">
              <w:rPr>
                <w:sz w:val="22"/>
                <w:szCs w:val="22"/>
              </w:rPr>
              <w:t xml:space="preserve">risk </w:t>
            </w:r>
            <w:r w:rsidR="00EC6045">
              <w:rPr>
                <w:sz w:val="22"/>
                <w:szCs w:val="22"/>
              </w:rPr>
              <w:t>in ICU admissions respectively.</w:t>
            </w:r>
            <w:r w:rsidR="007014CF">
              <w:rPr>
                <w:sz w:val="22"/>
                <w:szCs w:val="22"/>
              </w:rPr>
              <w:t xml:space="preserve"> </w:t>
            </w:r>
            <w:r w:rsidR="00C23353">
              <w:rPr>
                <w:sz w:val="22"/>
                <w:szCs w:val="22"/>
              </w:rPr>
              <w:t>The presence of</w:t>
            </w:r>
            <w:r w:rsidR="006058EE">
              <w:rPr>
                <w:sz w:val="22"/>
                <w:szCs w:val="22"/>
              </w:rPr>
              <w:t xml:space="preserve"> respiratory, cardiac and other chronic health conditions were significant risk factors for ICU admission. </w:t>
            </w:r>
            <w:r w:rsidR="007014CF">
              <w:rPr>
                <w:sz w:val="22"/>
                <w:szCs w:val="22"/>
              </w:rPr>
              <w:t xml:space="preserve">The clinical </w:t>
            </w:r>
            <w:r w:rsidR="006058EE">
              <w:rPr>
                <w:sz w:val="22"/>
                <w:szCs w:val="22"/>
              </w:rPr>
              <w:t xml:space="preserve">presentations </w:t>
            </w:r>
            <w:r w:rsidR="007014CF">
              <w:rPr>
                <w:sz w:val="22"/>
                <w:szCs w:val="22"/>
              </w:rPr>
              <w:t xml:space="preserve">more commonly seen in children </w:t>
            </w:r>
            <w:r w:rsidR="006058EE">
              <w:rPr>
                <w:sz w:val="22"/>
                <w:szCs w:val="22"/>
              </w:rPr>
              <w:t>requiring I</w:t>
            </w:r>
            <w:r w:rsidR="007014CF">
              <w:rPr>
                <w:sz w:val="22"/>
                <w:szCs w:val="22"/>
              </w:rPr>
              <w:t>CU</w:t>
            </w:r>
            <w:r w:rsidR="006058EE">
              <w:rPr>
                <w:sz w:val="22"/>
                <w:szCs w:val="22"/>
              </w:rPr>
              <w:t xml:space="preserve"> admission </w:t>
            </w:r>
            <w:r w:rsidR="007014CF">
              <w:rPr>
                <w:sz w:val="22"/>
                <w:szCs w:val="22"/>
              </w:rPr>
              <w:t>were</w:t>
            </w:r>
            <w:r w:rsidR="00EC6045">
              <w:rPr>
                <w:sz w:val="22"/>
                <w:szCs w:val="22"/>
              </w:rPr>
              <w:t xml:space="preserve"> </w:t>
            </w:r>
            <w:r w:rsidR="007014CF">
              <w:rPr>
                <w:sz w:val="22"/>
                <w:szCs w:val="22"/>
              </w:rPr>
              <w:t>a</w:t>
            </w:r>
            <w:r w:rsidR="00EC6045">
              <w:rPr>
                <w:sz w:val="22"/>
                <w:szCs w:val="22"/>
              </w:rPr>
              <w:t>pnoea</w:t>
            </w:r>
            <w:r w:rsidR="007014CF">
              <w:rPr>
                <w:sz w:val="22"/>
                <w:szCs w:val="22"/>
              </w:rPr>
              <w:t xml:space="preserve"> (</w:t>
            </w:r>
            <w:r w:rsidR="006058EE">
              <w:rPr>
                <w:sz w:val="22"/>
                <w:szCs w:val="22"/>
              </w:rPr>
              <w:t>aOR</w:t>
            </w:r>
            <w:r w:rsidR="00C23353">
              <w:rPr>
                <w:sz w:val="22"/>
                <w:szCs w:val="22"/>
              </w:rPr>
              <w:t xml:space="preserve"> </w:t>
            </w:r>
            <w:r w:rsidR="006058EE">
              <w:rPr>
                <w:sz w:val="22"/>
                <w:szCs w:val="22"/>
              </w:rPr>
              <w:t xml:space="preserve">5.01, </w:t>
            </w:r>
            <w:r w:rsidR="007014CF">
              <w:rPr>
                <w:sz w:val="22"/>
                <w:szCs w:val="22"/>
              </w:rPr>
              <w:t>95%CI: 1.50-17.13)</w:t>
            </w:r>
            <w:r w:rsidR="00EC6045" w:rsidRPr="003673BE">
              <w:rPr>
                <w:sz w:val="22"/>
                <w:szCs w:val="22"/>
              </w:rPr>
              <w:t xml:space="preserve"> </w:t>
            </w:r>
            <w:r w:rsidR="00EC6045">
              <w:rPr>
                <w:sz w:val="22"/>
                <w:szCs w:val="22"/>
              </w:rPr>
              <w:t>and respiratory distress</w:t>
            </w:r>
            <w:r w:rsidR="007014CF">
              <w:rPr>
                <w:sz w:val="22"/>
                <w:szCs w:val="22"/>
              </w:rPr>
              <w:t xml:space="preserve"> (</w:t>
            </w:r>
            <w:r w:rsidR="006058EE">
              <w:rPr>
                <w:sz w:val="22"/>
                <w:szCs w:val="22"/>
              </w:rPr>
              <w:t xml:space="preserve">aOR 15.91, </w:t>
            </w:r>
            <w:r w:rsidR="007014CF">
              <w:rPr>
                <w:sz w:val="22"/>
                <w:szCs w:val="22"/>
              </w:rPr>
              <w:t>95%CI: 4.52-55.97)</w:t>
            </w:r>
            <w:r w:rsidR="00EC6045">
              <w:rPr>
                <w:sz w:val="22"/>
                <w:szCs w:val="22"/>
              </w:rPr>
              <w:t xml:space="preserve">. </w:t>
            </w:r>
            <w:r w:rsidR="00C23353">
              <w:rPr>
                <w:sz w:val="22"/>
                <w:szCs w:val="22"/>
              </w:rPr>
              <w:t>ICU patients</w:t>
            </w:r>
            <w:r w:rsidR="006058EE">
              <w:rPr>
                <w:sz w:val="22"/>
                <w:szCs w:val="22"/>
              </w:rPr>
              <w:t xml:space="preserve"> were more at risk of developing in-hospital complications including </w:t>
            </w:r>
            <w:r w:rsidR="00EC6045">
              <w:rPr>
                <w:sz w:val="22"/>
                <w:szCs w:val="22"/>
              </w:rPr>
              <w:t>longer length of stay</w:t>
            </w:r>
            <w:r w:rsidR="006058EE">
              <w:rPr>
                <w:sz w:val="22"/>
                <w:szCs w:val="22"/>
              </w:rPr>
              <w:t xml:space="preserve"> and requiring</w:t>
            </w:r>
            <w:r w:rsidR="00C23353">
              <w:rPr>
                <w:sz w:val="22"/>
                <w:szCs w:val="22"/>
              </w:rPr>
              <w:t xml:space="preserve"> </w:t>
            </w:r>
            <w:r w:rsidR="00EC6045">
              <w:rPr>
                <w:sz w:val="22"/>
                <w:szCs w:val="22"/>
              </w:rPr>
              <w:t xml:space="preserve">respiratory support, non-oral rehydration, antibiotics, corticosteroids, antivirals and bronchodilators. </w:t>
            </w:r>
          </w:p>
          <w:p w14:paraId="0DF043A2" w14:textId="77777777" w:rsidR="003C70F1" w:rsidRDefault="003C70F1" w:rsidP="00C23353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</w:p>
          <w:p w14:paraId="74AD4BE7" w14:textId="3745DB06" w:rsidR="003C70F1" w:rsidRDefault="001564A4" w:rsidP="00C23353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244196BC" w14:textId="2D3C12E3" w:rsidR="003C70F1" w:rsidRPr="003C70F1" w:rsidRDefault="003C70F1" w:rsidP="00C23353">
            <w:pPr>
              <w:pStyle w:val="Pa12"/>
              <w:spacing w:line="240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Our results may help in developing a clinical risk algorithm to better identify children at risk of ICU admissions for RSV bronchiolitis.</w:t>
            </w:r>
          </w:p>
          <w:p w14:paraId="55F7D8B4" w14:textId="77777777" w:rsidR="003C70F1" w:rsidRDefault="003C70F1" w:rsidP="00C23353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</w:p>
          <w:p w14:paraId="3E8B4283" w14:textId="1DF9BEFF" w:rsidR="001564A4" w:rsidRPr="0050053A" w:rsidRDefault="001564A4" w:rsidP="00C23353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825E61" w:rsidRPr="00C23353">
              <w:rPr>
                <w:rStyle w:val="A4"/>
              </w:rPr>
              <w:t>There was no specific funding for this research</w:t>
            </w:r>
            <w:r w:rsidR="00C23353">
              <w:rPr>
                <w:rStyle w:val="A4"/>
              </w:rPr>
              <w:t>.</w:t>
            </w:r>
            <w:r w:rsidR="00825E61">
              <w:rPr>
                <w:rStyle w:val="A4"/>
                <w:b/>
                <w:bCs/>
              </w:rPr>
              <w:t xml:space="preserve"> </w:t>
            </w:r>
          </w:p>
          <w:p w14:paraId="7F8381F0" w14:textId="5D584271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564A4"/>
    <w:rsid w:val="001D7F06"/>
    <w:rsid w:val="0024704A"/>
    <w:rsid w:val="00247148"/>
    <w:rsid w:val="003C70F1"/>
    <w:rsid w:val="0051574E"/>
    <w:rsid w:val="006058EE"/>
    <w:rsid w:val="007014CF"/>
    <w:rsid w:val="00766DDA"/>
    <w:rsid w:val="00825E61"/>
    <w:rsid w:val="008803FA"/>
    <w:rsid w:val="009550D8"/>
    <w:rsid w:val="0097553E"/>
    <w:rsid w:val="00B12E32"/>
    <w:rsid w:val="00B175E2"/>
    <w:rsid w:val="00C23353"/>
    <w:rsid w:val="00E0700F"/>
    <w:rsid w:val="00E55B5A"/>
    <w:rsid w:val="00EC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link w:val="Heading4Char"/>
    <w:uiPriority w:val="9"/>
    <w:qFormat/>
    <w:rsid w:val="00EC6045"/>
    <w:pPr>
      <w:spacing w:before="100" w:beforeAutospacing="1" w:after="100" w:afterAutospacing="1"/>
      <w:outlineLvl w:val="3"/>
    </w:pPr>
    <w:rPr>
      <w:b/>
      <w:bCs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EC6045"/>
    <w:rPr>
      <w:rFonts w:ascii="Times New Roman" w:eastAsia="Times New Roman" w:hAnsi="Times New Roman" w:cs="Times New Roman"/>
      <w:b/>
      <w:bCs/>
      <w:sz w:val="24"/>
      <w:szCs w:val="24"/>
      <w:lang w:val="en-SG" w:eastAsia="zh-CN"/>
    </w:rPr>
  </w:style>
  <w:style w:type="paragraph" w:styleId="Revision">
    <w:name w:val="Revision"/>
    <w:hidden/>
    <w:uiPriority w:val="99"/>
    <w:semiHidden/>
    <w:rsid w:val="0097553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5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8EE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8EE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2239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Nusrat Homaira</cp:lastModifiedBy>
  <cp:revision>6</cp:revision>
  <dcterms:created xsi:type="dcterms:W3CDTF">2023-09-29T00:54:00Z</dcterms:created>
  <dcterms:modified xsi:type="dcterms:W3CDTF">2023-10-12T21:16:00Z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