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41244" w14:textId="77777777" w:rsidR="00621C0A" w:rsidRDefault="00621C0A" w:rsidP="00621C0A">
      <w:pPr>
        <w:pStyle w:val="NormalWeb"/>
        <w:spacing w:line="300" w:lineRule="atLeast"/>
        <w:rPr>
          <w:rStyle w:val="Strong"/>
          <w:rFonts w:ascii="Arial" w:hAnsi="Arial" w:cs="Arial"/>
          <w:sz w:val="22"/>
          <w:szCs w:val="22"/>
        </w:rPr>
      </w:pPr>
      <w:r>
        <w:rPr>
          <w:rStyle w:val="Strong"/>
          <w:rFonts w:ascii="Arial" w:hAnsi="Arial" w:cs="Arial"/>
          <w:sz w:val="22"/>
          <w:szCs w:val="22"/>
        </w:rPr>
        <w:t>Title:</w:t>
      </w:r>
    </w:p>
    <w:p w14:paraId="394D95F7" w14:textId="77777777" w:rsidR="00621C0A" w:rsidRDefault="00621C0A" w:rsidP="00621C0A">
      <w:pPr>
        <w:pStyle w:val="NormalWeb"/>
        <w:spacing w:line="300" w:lineRule="atLeast"/>
      </w:pPr>
      <w:r>
        <w:rPr>
          <w:rStyle w:val="Strong"/>
          <w:rFonts w:ascii="Arial" w:hAnsi="Arial" w:cs="Arial"/>
          <w:sz w:val="22"/>
          <w:szCs w:val="22"/>
        </w:rPr>
        <w:t>Beyond targets: preventative care through hospital and community collaboration for a Medicare</w:t>
      </w:r>
      <w:r>
        <w:rPr>
          <w:rStyle w:val="Strong"/>
          <w:rFonts w:ascii="Arial" w:hAnsi="Arial" w:cs="Arial"/>
          <w:sz w:val="22"/>
          <w:szCs w:val="22"/>
        </w:rPr>
        <w:noBreakHyphen/>
        <w:t xml:space="preserve">ineligible person with type 1 diabetes </w:t>
      </w:r>
      <w:r>
        <w:rPr>
          <w:rFonts w:ascii="Arial" w:hAnsi="Arial" w:cs="Arial"/>
          <w:sz w:val="22"/>
          <w:szCs w:val="22"/>
        </w:rPr>
        <w:br/>
      </w:r>
    </w:p>
    <w:p w14:paraId="707F07B5" w14:textId="3742B5F9" w:rsidR="00621C0A" w:rsidRDefault="00621C0A" w:rsidP="00621C0A">
      <w:pPr>
        <w:pStyle w:val="NormalWeb"/>
        <w:spacing w:line="300" w:lineRule="atLeast"/>
        <w:rPr>
          <w:rFonts w:ascii="Arial" w:hAnsi="Arial" w:cs="Arial"/>
          <w:sz w:val="22"/>
          <w:szCs w:val="22"/>
        </w:rPr>
      </w:pPr>
      <w:r>
        <w:rPr>
          <w:rStyle w:val="Strong"/>
          <w:rFonts w:ascii="Arial" w:hAnsi="Arial" w:cs="Arial"/>
          <w:sz w:val="22"/>
          <w:szCs w:val="22"/>
        </w:rPr>
        <w:t>Background &amp; Aim:</w:t>
      </w:r>
      <w:r>
        <w:rPr>
          <w:rFonts w:ascii="Arial" w:hAnsi="Arial" w:cs="Arial"/>
          <w:sz w:val="22"/>
          <w:szCs w:val="22"/>
        </w:rPr>
        <w:br/>
        <w:t>Over 120,000 Australians live with type 1 diabetes (T1D). Medicare card holders and other select cohorts manage the cost of insulin</w:t>
      </w:r>
      <w:r w:rsidR="009D7696">
        <w:rPr>
          <w:rFonts w:ascii="Arial" w:hAnsi="Arial" w:cs="Arial"/>
          <w:sz w:val="22"/>
          <w:szCs w:val="22"/>
        </w:rPr>
        <w:t xml:space="preserve">, </w:t>
      </w:r>
      <w:r>
        <w:rPr>
          <w:rFonts w:ascii="Arial" w:hAnsi="Arial" w:cs="Arial"/>
          <w:sz w:val="22"/>
          <w:szCs w:val="22"/>
        </w:rPr>
        <w:t xml:space="preserve">other diabetes medications and consumables through government funding. </w:t>
      </w:r>
      <w:r>
        <w:rPr>
          <w:rFonts w:ascii="Arial" w:hAnsi="Arial" w:cs="Arial"/>
          <w:sz w:val="22"/>
          <w:szCs w:val="22"/>
          <w:vertAlign w:val="superscript"/>
        </w:rPr>
        <w:t xml:space="preserve"> </w:t>
      </w:r>
      <w:r>
        <w:rPr>
          <w:rFonts w:ascii="Arial" w:hAnsi="Arial" w:cs="Arial"/>
          <w:sz w:val="22"/>
          <w:szCs w:val="22"/>
        </w:rPr>
        <w:t>Medicare</w:t>
      </w:r>
      <w:r>
        <w:rPr>
          <w:rFonts w:ascii="Arial" w:hAnsi="Arial" w:cs="Arial"/>
          <w:sz w:val="22"/>
          <w:szCs w:val="22"/>
        </w:rPr>
        <w:noBreakHyphen/>
        <w:t>ineligible people face significant barriers to accessing insulin and care, increasing preventable hospital presentations and costs. This case describes collaborative preventative and ongoing care for a no-income Medicare</w:t>
      </w:r>
      <w:r>
        <w:rPr>
          <w:rFonts w:ascii="Arial" w:hAnsi="Arial" w:cs="Arial"/>
          <w:sz w:val="22"/>
          <w:szCs w:val="22"/>
        </w:rPr>
        <w:noBreakHyphen/>
        <w:t>ineligible person with T1D.</w:t>
      </w:r>
    </w:p>
    <w:p w14:paraId="5457A8EF" w14:textId="77777777" w:rsidR="00621C0A" w:rsidRDefault="00621C0A" w:rsidP="00621C0A">
      <w:pPr>
        <w:pStyle w:val="NormalWeb"/>
        <w:spacing w:line="300" w:lineRule="atLeast"/>
        <w:rPr>
          <w:rFonts w:ascii="Arial" w:hAnsi="Arial" w:cs="Arial"/>
          <w:sz w:val="22"/>
          <w:szCs w:val="22"/>
        </w:rPr>
      </w:pPr>
      <w:r>
        <w:rPr>
          <w:rFonts w:ascii="Arial" w:hAnsi="Arial" w:cs="Arial"/>
          <w:color w:val="000000"/>
          <w:sz w:val="22"/>
          <w:szCs w:val="22"/>
        </w:rPr>
        <w:t>The aims of preventative and ongoing care for this case study were to prevent death, hospital presentations and re-admissions; ensure continued engagement with health services; enable diabetes nurse educator (DNE) access in both hospital and community and save the cost of possible emergency treatment.</w:t>
      </w:r>
    </w:p>
    <w:p w14:paraId="41F8AE2B" w14:textId="27FC1A1F" w:rsidR="00621C0A" w:rsidRDefault="00621C0A" w:rsidP="00621C0A">
      <w:pPr>
        <w:pStyle w:val="NormalWeb"/>
        <w:spacing w:line="300" w:lineRule="atLeast"/>
        <w:rPr>
          <w:rFonts w:ascii="Arial" w:hAnsi="Arial" w:cs="Arial"/>
          <w:sz w:val="22"/>
          <w:szCs w:val="22"/>
        </w:rPr>
      </w:pPr>
      <w:r>
        <w:rPr>
          <w:rStyle w:val="Strong"/>
          <w:rFonts w:ascii="Arial" w:hAnsi="Arial" w:cs="Arial"/>
          <w:sz w:val="22"/>
          <w:szCs w:val="22"/>
        </w:rPr>
        <w:t>Methods:</w:t>
      </w:r>
      <w:r>
        <w:rPr>
          <w:rFonts w:ascii="Arial" w:hAnsi="Arial" w:cs="Arial"/>
          <w:sz w:val="22"/>
          <w:szCs w:val="22"/>
        </w:rPr>
        <w:br/>
        <w:t>A 40</w:t>
      </w:r>
      <w:r>
        <w:rPr>
          <w:rFonts w:ascii="Arial" w:hAnsi="Arial" w:cs="Arial"/>
          <w:sz w:val="22"/>
          <w:szCs w:val="22"/>
        </w:rPr>
        <w:noBreakHyphen/>
        <w:t>year</w:t>
      </w:r>
      <w:r>
        <w:rPr>
          <w:rFonts w:ascii="Arial" w:hAnsi="Arial" w:cs="Arial"/>
          <w:sz w:val="22"/>
          <w:szCs w:val="22"/>
        </w:rPr>
        <w:noBreakHyphen/>
        <w:t>old overseas</w:t>
      </w:r>
      <w:r>
        <w:rPr>
          <w:rFonts w:ascii="Arial" w:hAnsi="Arial" w:cs="Arial"/>
          <w:sz w:val="22"/>
          <w:szCs w:val="22"/>
        </w:rPr>
        <w:noBreakHyphen/>
        <w:t>born man, diagnosed with T1D following an admission for diabetes ketoacidosis to Royal Melbourne Hospital (RMH) in September 2023, was referred to the Hospital Admission Risk Program (HARP) DNE. Despite reporting a history of auditory hallucinations, no mental health issue was found by the inpatient psychiatric team. He had no income, visa, or housing and was ineligible for Medicare. RMH arranged funded insulin supplied through a local community pharmacy and waived emergency department (ED) and outpatient costs. The HARP DNE coordinated GP care, regular community follow</w:t>
      </w:r>
      <w:r>
        <w:rPr>
          <w:rFonts w:ascii="Arial" w:hAnsi="Arial" w:cs="Arial"/>
          <w:sz w:val="22"/>
          <w:szCs w:val="22"/>
        </w:rPr>
        <w:noBreakHyphen/>
        <w:t>up, and monitored pharmacy arrangements. Housing, mental health, and legal supports were provided through a homeless and housing community service.</w:t>
      </w:r>
    </w:p>
    <w:p w14:paraId="7C3E7D30" w14:textId="2806D163" w:rsidR="00621C0A" w:rsidRDefault="00621C0A" w:rsidP="00621C0A">
      <w:pPr>
        <w:pStyle w:val="NormalWeb"/>
        <w:spacing w:line="300" w:lineRule="atLeast"/>
        <w:rPr>
          <w:rFonts w:ascii="Arial" w:hAnsi="Arial" w:cs="Arial"/>
          <w:sz w:val="22"/>
          <w:szCs w:val="22"/>
        </w:rPr>
      </w:pPr>
      <w:r>
        <w:rPr>
          <w:rStyle w:val="Strong"/>
          <w:rFonts w:ascii="Arial" w:hAnsi="Arial" w:cs="Arial"/>
          <w:sz w:val="22"/>
          <w:szCs w:val="22"/>
        </w:rPr>
        <w:t>Results:</w:t>
      </w:r>
      <w:r>
        <w:rPr>
          <w:rFonts w:ascii="Arial" w:hAnsi="Arial" w:cs="Arial"/>
          <w:sz w:val="22"/>
          <w:szCs w:val="22"/>
        </w:rPr>
        <w:br/>
        <w:t>The patient consistently accessed insulin and demonstrated effective self</w:t>
      </w:r>
      <w:r>
        <w:rPr>
          <w:rFonts w:ascii="Arial" w:hAnsi="Arial" w:cs="Arial"/>
          <w:sz w:val="22"/>
          <w:szCs w:val="22"/>
        </w:rPr>
        <w:noBreakHyphen/>
        <w:t xml:space="preserve">management, with blood ketones &lt;0.6 at each DNE review. After diagnosis, he presented to the ED </w:t>
      </w:r>
      <w:r>
        <w:rPr>
          <w:rFonts w:ascii="Arial" w:hAnsi="Arial" w:cs="Arial"/>
          <w:sz w:val="22"/>
          <w:szCs w:val="22"/>
        </w:rPr>
        <w:t>10</w:t>
      </w:r>
      <w:r>
        <w:rPr>
          <w:rFonts w:ascii="Arial" w:hAnsi="Arial" w:cs="Arial"/>
          <w:sz w:val="22"/>
          <w:szCs w:val="22"/>
        </w:rPr>
        <w:t xml:space="preserve"> times (the first before HARP involvement) with a total </w:t>
      </w:r>
      <w:r>
        <w:rPr>
          <w:rFonts w:ascii="Arial" w:hAnsi="Arial" w:cs="Arial"/>
          <w:sz w:val="22"/>
          <w:szCs w:val="22"/>
        </w:rPr>
        <w:t>six</w:t>
      </w:r>
      <w:r>
        <w:rPr>
          <w:rFonts w:ascii="Arial" w:hAnsi="Arial" w:cs="Arial"/>
          <w:sz w:val="22"/>
          <w:szCs w:val="22"/>
        </w:rPr>
        <w:t xml:space="preserve"> days in hospital; </w:t>
      </w:r>
      <w:r w:rsidR="00003245">
        <w:rPr>
          <w:rFonts w:ascii="Arial" w:hAnsi="Arial" w:cs="Arial"/>
          <w:sz w:val="22"/>
          <w:szCs w:val="22"/>
        </w:rPr>
        <w:t>he did not present between September 2024 and February 2026.</w:t>
      </w:r>
    </w:p>
    <w:p w14:paraId="045584EA" w14:textId="77777777" w:rsidR="00621C0A" w:rsidRDefault="00621C0A" w:rsidP="00621C0A">
      <w:pPr>
        <w:pStyle w:val="NormalWeb"/>
        <w:spacing w:line="300" w:lineRule="atLeast"/>
        <w:rPr>
          <w:rFonts w:ascii="Arial" w:hAnsi="Arial" w:cs="Arial"/>
          <w:sz w:val="22"/>
          <w:szCs w:val="22"/>
        </w:rPr>
      </w:pPr>
      <w:r>
        <w:rPr>
          <w:rStyle w:val="Strong"/>
          <w:rFonts w:ascii="Arial" w:hAnsi="Arial" w:cs="Arial"/>
          <w:sz w:val="22"/>
          <w:szCs w:val="22"/>
        </w:rPr>
        <w:t>Discussion/Conclusion:</w:t>
      </w:r>
      <w:r>
        <w:rPr>
          <w:rFonts w:ascii="Arial" w:hAnsi="Arial" w:cs="Arial"/>
          <w:sz w:val="22"/>
          <w:szCs w:val="22"/>
        </w:rPr>
        <w:br/>
        <w:t>Integrated hospital, HARP, and community collaboration enabled ongoing engagement, self</w:t>
      </w:r>
      <w:r>
        <w:rPr>
          <w:rFonts w:ascii="Arial" w:hAnsi="Arial" w:cs="Arial"/>
          <w:sz w:val="22"/>
          <w:szCs w:val="22"/>
        </w:rPr>
        <w:noBreakHyphen/>
        <w:t>management, and avoidance of ED presentations for over 12 months for this man. This case highlights the value of prevention and ongoing care with the potential to benefit others in similar circumstances.</w:t>
      </w:r>
    </w:p>
    <w:p w14:paraId="006D9B57" w14:textId="77777777" w:rsidR="00621C0A" w:rsidRDefault="00621C0A" w:rsidP="00621C0A">
      <w:pPr>
        <w:rPr>
          <w:rFonts w:ascii="Arial" w:eastAsia="Times New Roman" w:hAnsi="Arial" w:cs="Arial"/>
          <w:color w:val="000000"/>
          <w:lang w:eastAsia="en-AU"/>
        </w:rPr>
      </w:pPr>
    </w:p>
    <w:p w14:paraId="07ECF861" w14:textId="77777777" w:rsidR="00621C0A" w:rsidRDefault="00621C0A" w:rsidP="00621C0A">
      <w:pPr>
        <w:rPr>
          <w:rFonts w:ascii="Arial" w:hAnsi="Arial" w:cs="Arial"/>
        </w:rPr>
      </w:pPr>
    </w:p>
    <w:p w14:paraId="29015551" w14:textId="77777777" w:rsidR="00621C0A" w:rsidRDefault="00621C0A" w:rsidP="00621C0A">
      <w:pPr>
        <w:rPr>
          <w:rFonts w:ascii="Arial" w:hAnsi="Arial" w:cs="Arial"/>
        </w:rPr>
      </w:pPr>
    </w:p>
    <w:p w14:paraId="0E07E2AC" w14:textId="77777777" w:rsidR="00B149DE" w:rsidRDefault="00B149DE">
      <w:bookmarkStart w:id="0" w:name="_GoBack"/>
      <w:bookmarkEnd w:id="0"/>
    </w:p>
    <w:sectPr w:rsidR="00B149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47C"/>
    <w:multiLevelType w:val="hybridMultilevel"/>
    <w:tmpl w:val="C2969F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85"/>
    <w:rsid w:val="00003245"/>
    <w:rsid w:val="000E6540"/>
    <w:rsid w:val="00621C0A"/>
    <w:rsid w:val="008E2185"/>
    <w:rsid w:val="009D7696"/>
    <w:rsid w:val="00B149DE"/>
    <w:rsid w:val="00EF7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CC9F"/>
  <w15:chartTrackingRefBased/>
  <w15:docId w15:val="{F49FA297-C852-49EC-A939-E83BC4DC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1C0A"/>
    <w:rPr>
      <w:color w:val="0000FF"/>
      <w:u w:val="single"/>
    </w:rPr>
  </w:style>
  <w:style w:type="paragraph" w:styleId="NormalWeb">
    <w:name w:val="Normal (Web)"/>
    <w:basedOn w:val="Normal"/>
    <w:uiPriority w:val="99"/>
    <w:semiHidden/>
    <w:unhideWhenUsed/>
    <w:rsid w:val="00621C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621C0A"/>
    <w:pPr>
      <w:ind w:left="720"/>
      <w:contextualSpacing/>
    </w:pPr>
  </w:style>
  <w:style w:type="character" w:styleId="Strong">
    <w:name w:val="Strong"/>
    <w:basedOn w:val="DefaultParagraphFont"/>
    <w:uiPriority w:val="22"/>
    <w:qFormat/>
    <w:rsid w:val="00621C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2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1991</Characters>
  <Application>Microsoft Office Word</Application>
  <DocSecurity>0</DocSecurity>
  <Lines>38</Lines>
  <Paragraphs>7</Paragraphs>
  <ScaleCrop>false</ScaleCrop>
  <HeadingPairs>
    <vt:vector size="2" baseType="variant">
      <vt:variant>
        <vt:lpstr>Title</vt:lpstr>
      </vt:variant>
      <vt:variant>
        <vt:i4>1</vt:i4>
      </vt:variant>
    </vt:vector>
  </HeadingPairs>
  <TitlesOfParts>
    <vt:vector size="1" baseType="lpstr">
      <vt:lpstr/>
    </vt:vector>
  </TitlesOfParts>
  <Company>The Royal Melbourne Hospital</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Schubert, Deborah</dc:creator>
  <cp:keywords/>
  <dc:description/>
  <cp:lastModifiedBy>Schubert, Deborah</cp:lastModifiedBy>
  <cp:revision>2</cp:revision>
  <dcterms:created xsi:type="dcterms:W3CDTF">2026-03-11T09:29:00Z</dcterms:created>
  <dcterms:modified xsi:type="dcterms:W3CDTF">2026-03-11T09:29:00Z</dcterms:modified>
</cp:coreProperties>
</file>