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7BB1" w:rsidRDefault="00F028DB">
      <w:pPr>
        <w:rPr>
          <w:rFonts w:ascii="Arial" w:eastAsia="Arial" w:hAnsi="Arial" w:cs="Arial"/>
        </w:rPr>
      </w:pPr>
      <w:r>
        <w:rPr>
          <w:rFonts w:ascii="Arial" w:eastAsia="Arial" w:hAnsi="Arial" w:cs="Arial"/>
          <w:b/>
          <w:bCs/>
        </w:rPr>
        <w:t xml:space="preserve">Abstract Submission </w:t>
      </w:r>
    </w:p>
    <w:p w14:paraId="00000002" w14:textId="77777777" w:rsidR="003C7BB1" w:rsidRDefault="003C7BB1">
      <w:pPr>
        <w:rPr>
          <w:rFonts w:ascii="Arial" w:eastAsia="Arial" w:hAnsi="Arial" w:cs="Arial"/>
        </w:rPr>
      </w:pPr>
    </w:p>
    <w:p w14:paraId="00000003" w14:textId="77777777" w:rsidR="003C7BB1" w:rsidRDefault="00F028DB">
      <w:pPr>
        <w:rPr>
          <w:rFonts w:ascii="Arial" w:eastAsia="Arial" w:hAnsi="Arial" w:cs="Arial"/>
        </w:rPr>
      </w:pPr>
      <w:r>
        <w:rPr>
          <w:rFonts w:ascii="Arial" w:eastAsia="Arial" w:hAnsi="Arial" w:cs="Arial"/>
          <w:b/>
          <w:bCs/>
        </w:rPr>
        <w:t>Title: Mentoring Without Borders: A National Group Tele-Mentoring Model for Health Professionals</w:t>
      </w:r>
    </w:p>
    <w:p w14:paraId="00000004" w14:textId="77777777" w:rsidR="003C7BB1" w:rsidRDefault="003C7BB1">
      <w:pPr>
        <w:rPr>
          <w:rFonts w:ascii="Arial" w:eastAsia="Arial" w:hAnsi="Arial" w:cs="Arial"/>
          <w:b/>
          <w:bCs/>
        </w:rPr>
      </w:pPr>
    </w:p>
    <w:p w14:paraId="00000005" w14:textId="77777777" w:rsidR="003C7BB1" w:rsidRDefault="00F028DB">
      <w:pPr>
        <w:rPr>
          <w:rFonts w:ascii="Arial" w:eastAsia="Arial" w:hAnsi="Arial" w:cs="Arial"/>
        </w:rPr>
      </w:pPr>
      <w:r>
        <w:rPr>
          <w:rFonts w:ascii="Arial" w:eastAsia="Arial" w:hAnsi="Arial" w:cs="Arial"/>
          <w:b/>
          <w:bCs/>
        </w:rPr>
        <w:t>Background &amp; Aim:</w:t>
      </w:r>
      <w:r>
        <w:rPr>
          <w:rFonts w:ascii="Arial" w:eastAsia="Arial" w:hAnsi="Arial" w:cs="Arial"/>
        </w:rPr>
        <w:t xml:space="preserve"> Access to professional mentoring remains challenging for many health professionals, particularly those working in rural, sole practitioner or time-constrained roles. Traditional one-to-one mentoring models are often limited by workforce shortages, geographic isolation and difficulty accessing suitable mentors. Mentoring is a critical component of the credentialing pathway for diabetes educators under the Australian Diabetes Educators Association (ADEA). To address these barriers, a virtual group mentoring </w:t>
      </w:r>
      <w:r>
        <w:rPr>
          <w:rFonts w:ascii="Arial" w:eastAsia="Arial" w:hAnsi="Arial" w:cs="Arial"/>
        </w:rPr>
        <w:t>programme was established for health professionals across Australia. This study explored participant experiences of this model, focusing on accessibility, educational value and professional impact.</w:t>
      </w:r>
    </w:p>
    <w:p w14:paraId="00000006" w14:textId="77777777" w:rsidR="003C7BB1" w:rsidRDefault="003C7BB1">
      <w:pPr>
        <w:rPr>
          <w:rFonts w:ascii="Arial" w:eastAsia="Arial" w:hAnsi="Arial" w:cs="Arial"/>
          <w:b/>
          <w:bCs/>
        </w:rPr>
      </w:pPr>
    </w:p>
    <w:p w14:paraId="00000007" w14:textId="1950D27C" w:rsidR="003C7BB1" w:rsidRDefault="00F028DB">
      <w:pPr>
        <w:rPr>
          <w:rFonts w:ascii="Arial" w:eastAsia="Arial" w:hAnsi="Arial" w:cs="Arial"/>
        </w:rPr>
      </w:pPr>
      <w:r>
        <w:rPr>
          <w:rFonts w:ascii="Arial" w:eastAsia="Arial" w:hAnsi="Arial" w:cs="Arial"/>
          <w:b/>
          <w:bCs/>
        </w:rPr>
        <w:t>Methods:</w:t>
      </w:r>
      <w:r>
        <w:rPr>
          <w:rFonts w:ascii="Arial" w:eastAsia="Arial" w:hAnsi="Arial" w:cs="Arial"/>
        </w:rPr>
        <w:t xml:space="preserve"> A qualitative evaluation was conducted with 42 mentees enrolled in a structured group mentoring programme. Participants were predominantly pharmacists, </w:t>
      </w:r>
      <w:r w:rsidR="007417DE">
        <w:rPr>
          <w:rFonts w:ascii="Arial" w:eastAsia="Arial" w:hAnsi="Arial" w:cs="Arial"/>
        </w:rPr>
        <w:t>but include</w:t>
      </w:r>
      <w:r>
        <w:rPr>
          <w:rFonts w:ascii="Arial" w:eastAsia="Arial" w:hAnsi="Arial" w:cs="Arial"/>
        </w:rPr>
        <w:t xml:space="preserve"> optometrists</w:t>
      </w:r>
      <w:r w:rsidR="007417DE">
        <w:rPr>
          <w:rFonts w:ascii="Arial" w:eastAsia="Arial" w:hAnsi="Arial" w:cs="Arial"/>
        </w:rPr>
        <w:t>, a dentist,</w:t>
      </w:r>
      <w:r>
        <w:rPr>
          <w:rFonts w:ascii="Arial" w:eastAsia="Arial" w:hAnsi="Arial" w:cs="Arial"/>
        </w:rPr>
        <w:t xml:space="preserve"> an exercise physiologist</w:t>
      </w:r>
      <w:r w:rsidR="007417DE">
        <w:rPr>
          <w:rFonts w:ascii="Arial" w:eastAsia="Arial" w:hAnsi="Arial" w:cs="Arial"/>
        </w:rPr>
        <w:t xml:space="preserve"> and podiatrist</w:t>
      </w:r>
      <w:r>
        <w:rPr>
          <w:rFonts w:ascii="Arial" w:eastAsia="Arial" w:hAnsi="Arial" w:cs="Arial"/>
        </w:rPr>
        <w:t>, representing metropolitan, regional and remote settings. Mentees entered a 6–12 month mentoring contract and attended twice monthly Zoom-based group sessions facilitated by an experienced clinician-educator. The twice monthly format enabled participants to attend one session per month, providing flexibility w</w:t>
      </w:r>
      <w:r w:rsidR="002F4C58">
        <w:rPr>
          <w:rFonts w:ascii="Arial" w:eastAsia="Arial" w:hAnsi="Arial" w:cs="Arial"/>
        </w:rPr>
        <w:t>ith</w:t>
      </w:r>
      <w:r>
        <w:rPr>
          <w:rFonts w:ascii="Arial" w:eastAsia="Arial" w:hAnsi="Arial" w:cs="Arial"/>
        </w:rPr>
        <w:t xml:space="preserve"> time zone differences between Eastern Australia and Western Australia. Sessions incorporated peer discussion, case sharing, reflective practice and guest expert presentations. Qualitative feedback was collected through reflective surveys and facilitated discussions and analysed thematically.</w:t>
      </w:r>
    </w:p>
    <w:p w14:paraId="00000008" w14:textId="77777777" w:rsidR="003C7BB1" w:rsidRDefault="003C7BB1">
      <w:pPr>
        <w:rPr>
          <w:rFonts w:ascii="Arial" w:eastAsia="Arial" w:hAnsi="Arial" w:cs="Arial"/>
          <w:b/>
          <w:bCs/>
        </w:rPr>
      </w:pPr>
    </w:p>
    <w:p w14:paraId="00000009" w14:textId="77777777" w:rsidR="003C7BB1" w:rsidRDefault="00F028DB">
      <w:pPr>
        <w:rPr>
          <w:rFonts w:ascii="Arial" w:eastAsia="Arial" w:hAnsi="Arial" w:cs="Arial"/>
        </w:rPr>
      </w:pPr>
      <w:r>
        <w:rPr>
          <w:rFonts w:ascii="Arial" w:eastAsia="Arial" w:hAnsi="Arial" w:cs="Arial"/>
          <w:b/>
          <w:bCs/>
        </w:rPr>
        <w:t>Results:</w:t>
      </w:r>
      <w:r>
        <w:rPr>
          <w:rFonts w:ascii="Arial" w:eastAsia="Arial" w:hAnsi="Arial" w:cs="Arial"/>
        </w:rPr>
        <w:t xml:space="preserve"> Participants described the tele-mentoring model as accessible, flexible and professionally enriching. The virtual format enabled engagement regardless of location, workload or inability to secure locum cover. Flexible attendance supported sustained participation. Mentees reported that the group dynamic enhanced learning through shared experiences, collaborative problem-solving and exposure to diverse practice contexts. Guest speakers added significant value by providing expert insight and fostering profess</w:t>
      </w:r>
      <w:r>
        <w:rPr>
          <w:rFonts w:ascii="Arial" w:eastAsia="Arial" w:hAnsi="Arial" w:cs="Arial"/>
        </w:rPr>
        <w:t>ional connections. The programme supported increased confidence, reduced professional isolation and strengthened professional identity.</w:t>
      </w:r>
    </w:p>
    <w:p w14:paraId="0000000A" w14:textId="77777777" w:rsidR="003C7BB1" w:rsidRDefault="003C7BB1">
      <w:pPr>
        <w:rPr>
          <w:rFonts w:ascii="Arial" w:eastAsia="Arial" w:hAnsi="Arial" w:cs="Arial"/>
          <w:b/>
          <w:bCs/>
        </w:rPr>
      </w:pPr>
    </w:p>
    <w:p w14:paraId="0000000B" w14:textId="30817EFE" w:rsidR="003C7BB1" w:rsidRDefault="00F028DB">
      <w:pPr>
        <w:rPr>
          <w:rFonts w:ascii="Arial" w:eastAsia="Arial" w:hAnsi="Arial" w:cs="Arial"/>
        </w:rPr>
      </w:pPr>
      <w:r>
        <w:rPr>
          <w:rFonts w:ascii="Arial" w:eastAsia="Arial" w:hAnsi="Arial" w:cs="Arial"/>
          <w:b/>
          <w:bCs/>
        </w:rPr>
        <w:t>Discussion / Conclusion:</w:t>
      </w:r>
      <w:r>
        <w:rPr>
          <w:rFonts w:ascii="Arial" w:eastAsia="Arial" w:hAnsi="Arial" w:cs="Arial"/>
        </w:rPr>
        <w:t xml:space="preserve"> Group tele-mentoring is a scalable and sustainable model for credentialing-aligned professional support. As an </w:t>
      </w:r>
      <w:r>
        <w:rPr>
          <w:rFonts w:ascii="Arial" w:eastAsia="Arial" w:hAnsi="Arial" w:cs="Arial"/>
        </w:rPr>
        <w:t>accept</w:t>
      </w:r>
      <w:r w:rsidR="00E747C4">
        <w:rPr>
          <w:rFonts w:ascii="Arial" w:eastAsia="Arial" w:hAnsi="Arial" w:cs="Arial"/>
        </w:rPr>
        <w:t>able</w:t>
      </w:r>
      <w:r>
        <w:rPr>
          <w:rFonts w:ascii="Arial" w:eastAsia="Arial" w:hAnsi="Arial" w:cs="Arial"/>
        </w:rPr>
        <w:t xml:space="preserve"> pathway, </w:t>
      </w:r>
      <w:r w:rsidR="00E747C4">
        <w:rPr>
          <w:rFonts w:ascii="Arial" w:eastAsia="Arial" w:hAnsi="Arial" w:cs="Arial"/>
        </w:rPr>
        <w:t>this</w:t>
      </w:r>
      <w:r>
        <w:rPr>
          <w:rFonts w:ascii="Arial" w:eastAsia="Arial" w:hAnsi="Arial" w:cs="Arial"/>
        </w:rPr>
        <w:t xml:space="preserve"> expands equitable access to </w:t>
      </w:r>
      <w:r w:rsidR="00E747C4">
        <w:rPr>
          <w:rFonts w:ascii="Arial" w:eastAsia="Arial" w:hAnsi="Arial" w:cs="Arial"/>
        </w:rPr>
        <w:t xml:space="preserve">ADEA’s </w:t>
      </w:r>
      <w:r>
        <w:rPr>
          <w:rFonts w:ascii="Arial" w:eastAsia="Arial" w:hAnsi="Arial" w:cs="Arial"/>
        </w:rPr>
        <w:t>required mentoring while leveraging peer learning and expert engagement. This approach offers a future-ready strategy to strengthen workforce capability, wellbeing and professional connectedness.</w:t>
      </w:r>
    </w:p>
    <w:p w14:paraId="0000000C" w14:textId="77777777" w:rsidR="003C7BB1" w:rsidRDefault="003C7BB1">
      <w:pPr>
        <w:rPr>
          <w:rFonts w:ascii="Arial" w:eastAsia="Arial" w:hAnsi="Arial" w:cs="Arial"/>
          <w:b/>
          <w:bCs/>
        </w:rPr>
      </w:pPr>
    </w:p>
    <w:p w14:paraId="0000000D" w14:textId="77777777" w:rsidR="003C7BB1" w:rsidRDefault="003C7BB1">
      <w:pPr>
        <w:rPr>
          <w:rFonts w:ascii="Arial" w:eastAsia="Arial" w:hAnsi="Arial" w:cs="Arial"/>
        </w:rPr>
      </w:pPr>
    </w:p>
    <w:p w14:paraId="0000000E" w14:textId="77777777" w:rsidR="003C7BB1" w:rsidRDefault="003C7BB1"/>
    <w:sectPr w:rsidR="003C7BB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charset w:val="00"/>
    <w:family w:val="auto"/>
    <w:pitch w:val="default"/>
  </w:font>
  <w:font w:name="Play">
    <w:altName w:val="Calibri"/>
    <w:charset w:val="00"/>
    <w:family w:val="auto"/>
    <w:pitch w:val="default"/>
  </w:font>
  <w:font w:name="Aptos">
    <w:charset w:val="00"/>
    <w:family w:val="swiss"/>
    <w:pitch w:val="variable"/>
    <w:sig w:usb0="20000287" w:usb1="00000003" w:usb2="00000000" w:usb3="00000000" w:csb0="0000019F" w:csb1="00000000"/>
    <w:embedRegular r:id="rId1" w:fontKey="{7808E377-0557-4EB4-96F2-CC26F490EFE5}"/>
    <w:embedItalic r:id="rId2" w:fontKey="{6287FE3D-B770-4DE2-97DB-AAE956F0400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4DC6677A-B047-43F2-982E-64D0431D5772}"/>
  </w:font>
  <w:font w:name="Angsana New">
    <w:panose1 w:val="02020603050405020304"/>
    <w:charset w:val="DE"/>
    <w:family w:val="roman"/>
    <w:pitch w:val="variable"/>
    <w:sig w:usb0="81000003" w:usb1="00000000" w:usb2="00000000" w:usb3="00000000" w:csb0="00010001" w:csb1="00000000"/>
    <w:embedRegular r:id="rId4" w:fontKey="{82EC6593-375E-44B5-A2EE-61D4105A22D1}"/>
  </w:font>
  <w:font w:name="Cambria">
    <w:panose1 w:val="02040503050406030204"/>
    <w:charset w:val="00"/>
    <w:family w:val="roman"/>
    <w:pitch w:val="variable"/>
    <w:sig w:usb0="E00006FF" w:usb1="420024FF" w:usb2="02000000" w:usb3="00000000" w:csb0="0000019F" w:csb1="00000000"/>
    <w:embedRegular r:id="rId5" w:fontKey="{3FC51464-9950-4937-84F6-E6F21D5346A3}"/>
  </w:font>
  <w:font w:name="Cordia New">
    <w:panose1 w:val="020B0304020202020204"/>
    <w:charset w:val="DE"/>
    <w:family w:val="swiss"/>
    <w:pitch w:val="variable"/>
    <w:sig w:usb0="81000003" w:usb1="00000000" w:usb2="00000000" w:usb3="00000000" w:csb0="00010001" w:csb1="00000000"/>
    <w:embedRegular r:id="rId6" w:fontKey="{A3AF7D12-AE7E-4C2E-899F-813C7C8B81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B1"/>
    <w:rsid w:val="000D2743"/>
    <w:rsid w:val="002F4C58"/>
    <w:rsid w:val="003C7BB1"/>
    <w:rsid w:val="007417DE"/>
    <w:rsid w:val="00E747C4"/>
    <w:rsid w:val="00F028D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5C47"/>
  <w15:docId w15:val="{A42D881C-A73A-4B84-9160-E6F3600A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Atlas Grotesk Regular" w:hAnsi="Atlas Grotesk Regular" w:cs="Atlas Grotesk Regular"/>
        <w:sz w:val="22"/>
        <w:szCs w:val="22"/>
        <w:lang w:val="en-GB"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Heading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Bryce</dc:creator>
  <cp:lastModifiedBy>Amanda Bryce</cp:lastModifiedBy>
  <cp:revision>2</cp:revision>
  <dcterms:created xsi:type="dcterms:W3CDTF">2026-03-24T02:29:00Z</dcterms:created>
  <dcterms:modified xsi:type="dcterms:W3CDTF">2026-03-24T02:29:00Z</dcterms:modified>
</cp:coreProperties>
</file>