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1B9" w14:textId="38332B59" w:rsidR="00C315D2" w:rsidRPr="00C315D2" w:rsidRDefault="00DC15EE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 w:rsidRPr="003A6368">
        <w:rPr>
          <w:rFonts w:ascii="Arial" w:eastAsia="Calibri" w:hAnsi="Arial" w:cs="Calibri"/>
          <w:b/>
          <w:bCs/>
          <w:i/>
          <w:iCs/>
          <w:kern w:val="0"/>
          <w:lang w:val="en-US"/>
          <w14:ligatures w14:val="none"/>
        </w:rPr>
        <w:t>In Silico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Optimization </w:t>
      </w:r>
      <w:r w:rsidR="003A6368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o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f </w:t>
      </w:r>
      <w:r w:rsidR="003A6368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the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Benzofuropyridine Core Structure </w:t>
      </w:r>
      <w:r w:rsidR="003A6368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a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s CDK-5 Inhibit</w:t>
      </w:r>
      <w:r w:rsidR="00251F7E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ors</w:t>
      </w:r>
    </w:p>
    <w:p w14:paraId="79141BD9" w14:textId="155E5871" w:rsidR="00C315D2" w:rsidRPr="00C315D2" w:rsidRDefault="00251F7E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Reymark C. Ereje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</w:p>
    <w:p w14:paraId="47D76891" w14:textId="60570644" w:rsidR="00C315D2" w:rsidRPr="00C315D2" w:rsidRDefault="00C315D2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Department </w:t>
      </w:r>
      <w:r w:rsidR="00251F7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of Physical Sciences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E86E2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College of Science,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E86E2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University of the Philippines Baguio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E86E2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Baguio 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City, </w:t>
      </w:r>
      <w:r w:rsidR="00E86E2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Philippines</w:t>
      </w:r>
      <w:r w:rsidR="00F24FB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2385039D" w14:textId="20748E51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21B45" w:rsidRPr="00D21B4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Cyclin-dependent Kinase-5 (CDK-5) is a phosphorylating enzyme known for its function in neuronal disorders and cell cycle regulation. Benzofuropyridine (BFP) is a class of heteroaromatic molecules with reported inhibition against CDK-5. Known structural derivatives of the compound remain scarce, prompting the use of computational methods in improving the structural framework of the BFP, to produce more potent derivatives.</w:t>
      </w:r>
      <w:r w:rsidR="004B465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8C0479A" w14:textId="01FA543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C3C40" w:rsidRPr="00CC3C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Herein, three derivatization strategies</w:t>
      </w:r>
      <w:r w:rsidR="00E5013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for the </w:t>
      </w:r>
      <w:r w:rsidR="00622DC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diversification of the BFP core moiety </w:t>
      </w:r>
      <w:r w:rsidR="006D20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were</w:t>
      </w:r>
      <w:r w:rsidR="00622DC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planned. The series</w:t>
      </w:r>
      <w:r w:rsidR="00CC3C40" w:rsidRPr="00CC3C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namely: </w:t>
      </w:r>
      <w:r w:rsidR="00CC3C40" w:rsidRPr="00CC3C40">
        <w:rPr>
          <w:rFonts w:ascii="Arial" w:eastAsia="Calibri" w:hAnsi="Arial" w:cs="Calibri"/>
          <w:b/>
          <w:bCs/>
          <w:kern w:val="0"/>
          <w:sz w:val="20"/>
          <w:szCs w:val="20"/>
          <w:lang w:val="en-US"/>
          <w14:ligatures w14:val="none"/>
        </w:rPr>
        <w:t>B</w:t>
      </w:r>
      <w:r w:rsidR="00CC3C40" w:rsidRPr="00B6091B">
        <w:rPr>
          <w:rFonts w:ascii="Arial" w:eastAsia="Calibri" w:hAnsi="Arial" w:cs="Calibri"/>
          <w:b/>
          <w:bCs/>
          <w:color w:val="0000FF"/>
          <w:kern w:val="0"/>
          <w:sz w:val="20"/>
          <w:szCs w:val="20"/>
          <w:lang w:val="en-US"/>
          <w14:ligatures w14:val="none"/>
        </w:rPr>
        <w:t>X</w:t>
      </w:r>
      <w:r w:rsidR="00CC3C40" w:rsidRPr="00CC3C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-1-1 (45 analogs), </w:t>
      </w:r>
      <w:r w:rsidR="00CC3C40" w:rsidRPr="00CC3C40">
        <w:rPr>
          <w:rFonts w:ascii="Arial" w:eastAsia="Calibri" w:hAnsi="Arial" w:cs="Calibri"/>
          <w:b/>
          <w:bCs/>
          <w:kern w:val="0"/>
          <w:sz w:val="20"/>
          <w:szCs w:val="20"/>
          <w:lang w:val="en-US"/>
          <w14:ligatures w14:val="none"/>
        </w:rPr>
        <w:t>B</w:t>
      </w:r>
      <w:r w:rsidR="00CC3C40" w:rsidRPr="00CC3C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1-</w:t>
      </w:r>
      <w:r w:rsidR="00CC3C40" w:rsidRPr="00B6091B">
        <w:rPr>
          <w:rFonts w:ascii="Arial" w:eastAsia="Calibri" w:hAnsi="Arial" w:cs="Calibri"/>
          <w:b/>
          <w:bCs/>
          <w:color w:val="EE0000"/>
          <w:kern w:val="0"/>
          <w:sz w:val="20"/>
          <w:szCs w:val="20"/>
          <w:lang w:val="en-US"/>
          <w14:ligatures w14:val="none"/>
        </w:rPr>
        <w:t>X</w:t>
      </w:r>
      <w:r w:rsidR="00CC3C40" w:rsidRPr="00CC3C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-1 (33 analogs), and </w:t>
      </w:r>
      <w:r w:rsidR="00CC3C40" w:rsidRPr="00CC3C40">
        <w:rPr>
          <w:rFonts w:ascii="Arial" w:eastAsia="Calibri" w:hAnsi="Arial" w:cs="Calibri"/>
          <w:b/>
          <w:bCs/>
          <w:kern w:val="0"/>
          <w:sz w:val="20"/>
          <w:szCs w:val="20"/>
          <w:lang w:val="en-US"/>
          <w14:ligatures w14:val="none"/>
        </w:rPr>
        <w:t>B</w:t>
      </w:r>
      <w:r w:rsidR="00CC3C40" w:rsidRPr="00CC3C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1-1-</w:t>
      </w:r>
      <w:r w:rsidR="00CC3C40" w:rsidRPr="00B6091B">
        <w:rPr>
          <w:rFonts w:ascii="Arial" w:eastAsia="Calibri" w:hAnsi="Arial" w:cs="Calibri"/>
          <w:b/>
          <w:bCs/>
          <w:color w:val="00D269"/>
          <w:kern w:val="0"/>
          <w:sz w:val="20"/>
          <w:szCs w:val="20"/>
          <w:lang w:val="en-US"/>
          <w14:ligatures w14:val="none"/>
        </w:rPr>
        <w:t>X</w:t>
      </w:r>
      <w:r w:rsidR="00CC3C40" w:rsidRPr="00CC3C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(26 analogs) were prepared</w:t>
      </w:r>
      <w:r w:rsidR="007E4D0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and drawn</w:t>
      </w:r>
      <w:r w:rsidR="00622DC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using </w:t>
      </w:r>
      <w:r w:rsidR="006D20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known software</w:t>
      </w:r>
      <w:r w:rsidR="007E4D0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</w:t>
      </w:r>
      <w:r w:rsidR="006D20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, was</w:t>
      </w:r>
      <w:r w:rsidR="00CC3C40" w:rsidRPr="00CC3C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subjected to molecular docking study</w:t>
      </w:r>
      <w:r w:rsidR="006D20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,</w:t>
      </w:r>
      <w:r w:rsidR="00CC3C40" w:rsidRPr="00CC3C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and</w:t>
      </w:r>
      <w:r w:rsidR="006D20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the</w:t>
      </w:r>
      <w:r w:rsidR="00CC3C40" w:rsidRPr="00CC3C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drug-likeliness prediction </w:t>
      </w:r>
      <w:r w:rsidR="006D20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was performed using</w:t>
      </w:r>
      <w:r w:rsidR="00CC3C40" w:rsidRPr="00CC3C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SwissADME.</w:t>
      </w:r>
      <w:r w:rsidR="00DD575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58EE2702" w14:textId="49F4FBA2" w:rsidR="00C315D2" w:rsidRPr="00C315D2" w:rsidRDefault="00795378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661B8A" w:rsidRPr="00661B8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Results showed that</w:t>
      </w:r>
      <w:r w:rsidR="00661B8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among the three series,</w:t>
      </w:r>
      <w:r w:rsidR="00661B8A" w:rsidRPr="00661B8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the </w:t>
      </w:r>
      <w:r w:rsidR="00661B8A" w:rsidRPr="00661B8A">
        <w:rPr>
          <w:rFonts w:ascii="Arial" w:eastAsia="Calibri" w:hAnsi="Arial" w:cs="Calibri"/>
          <w:b/>
          <w:bCs/>
          <w:kern w:val="0"/>
          <w:sz w:val="20"/>
          <w:szCs w:val="20"/>
          <w:lang w:val="en-US"/>
          <w14:ligatures w14:val="none"/>
        </w:rPr>
        <w:t>B</w:t>
      </w:r>
      <w:r w:rsidR="00661B8A" w:rsidRPr="00B6091B">
        <w:rPr>
          <w:rFonts w:ascii="Arial" w:eastAsia="Calibri" w:hAnsi="Arial" w:cs="Calibri"/>
          <w:b/>
          <w:bCs/>
          <w:color w:val="0000FF"/>
          <w:kern w:val="0"/>
          <w:sz w:val="20"/>
          <w:szCs w:val="20"/>
          <w:lang w:val="en-US"/>
          <w14:ligatures w14:val="none"/>
        </w:rPr>
        <w:t>X</w:t>
      </w:r>
      <w:r w:rsidR="00661B8A" w:rsidRPr="00661B8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-1-1, focusing on the 2</w:t>
      </w:r>
      <w:r w:rsidR="00661B8A" w:rsidRPr="00661B8A">
        <w:rPr>
          <w:rFonts w:ascii="Arial" w:eastAsia="Calibri" w:hAnsi="Arial" w:cs="Calibri"/>
          <w:i/>
          <w:iCs/>
          <w:kern w:val="0"/>
          <w:sz w:val="20"/>
          <w:szCs w:val="20"/>
          <w:lang w:val="en-US"/>
          <w14:ligatures w14:val="none"/>
        </w:rPr>
        <w:t>O</w:t>
      </w:r>
      <w:r w:rsidR="00661B8A" w:rsidRPr="00661B8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-position of the BFP, postured optimum potential for structural diversification as inhibitors, with the </w:t>
      </w:r>
      <w:r w:rsidR="00661B8A" w:rsidRPr="00661B8A">
        <w:rPr>
          <w:rFonts w:ascii="Arial" w:eastAsia="Calibri" w:hAnsi="Arial" w:cs="Calibri"/>
          <w:b/>
          <w:bCs/>
          <w:kern w:val="0"/>
          <w:sz w:val="20"/>
          <w:szCs w:val="20"/>
          <w:lang w:val="en-US"/>
          <w14:ligatures w14:val="none"/>
        </w:rPr>
        <w:t>B</w:t>
      </w:r>
      <w:r w:rsidR="00661B8A" w:rsidRPr="00B6091B">
        <w:rPr>
          <w:rFonts w:ascii="Arial" w:eastAsia="Calibri" w:hAnsi="Arial" w:cs="Calibri"/>
          <w:b/>
          <w:bCs/>
          <w:color w:val="0000FF"/>
          <w:kern w:val="0"/>
          <w:sz w:val="20"/>
          <w:szCs w:val="20"/>
          <w:lang w:val="en-US"/>
          <w14:ligatures w14:val="none"/>
        </w:rPr>
        <w:t>29</w:t>
      </w:r>
      <w:r w:rsidR="00661B8A" w:rsidRPr="00661B8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-1-1 analog having the highest binding affinity of -10.7 kcal/mol.</w:t>
      </w:r>
      <w:r w:rsidR="00F04BF0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Interestingly, the </w:t>
      </w:r>
      <w:r w:rsidR="00F04BF0" w:rsidRPr="00461322">
        <w:rPr>
          <w:rFonts w:ascii="Arial" w:eastAsia="Calibri" w:hAnsi="Arial" w:cs="Calibri"/>
          <w:b/>
          <w:bCs/>
          <w:kern w:val="0"/>
          <w:sz w:val="20"/>
          <w:szCs w:val="20"/>
          <w:lang w:val="en-US"/>
          <w14:ligatures w14:val="none"/>
        </w:rPr>
        <w:t>B</w:t>
      </w:r>
      <w:r w:rsidR="00F04BF0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1-</w:t>
      </w:r>
      <w:r w:rsidR="00F04BF0" w:rsidRPr="00461322">
        <w:rPr>
          <w:rFonts w:ascii="Arial" w:eastAsia="Calibri" w:hAnsi="Arial" w:cs="Calibri"/>
          <w:b/>
          <w:bCs/>
          <w:color w:val="EE0000"/>
          <w:kern w:val="0"/>
          <w:sz w:val="20"/>
          <w:szCs w:val="20"/>
          <w:lang w:val="en-US"/>
          <w14:ligatures w14:val="none"/>
        </w:rPr>
        <w:t>X</w:t>
      </w:r>
      <w:r w:rsidR="00F04BF0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-1 series was identified to be</w:t>
      </w:r>
      <w:r w:rsidR="00461322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the</w:t>
      </w:r>
      <w:r w:rsidR="00F04BF0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E50131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least likely</w:t>
      </w:r>
      <w:r w:rsidR="00216D4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plan</w:t>
      </w:r>
      <w:r w:rsidR="00E50131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to produce more improved analogs.</w:t>
      </w:r>
      <w:r w:rsidR="00661B8A" w:rsidRPr="00661B8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Key residues such as </w:t>
      </w:r>
      <w:r w:rsidR="00661B8A" w:rsidRPr="00661B8A">
        <w:rPr>
          <w:rFonts w:ascii="Arial" w:eastAsia="Calibri" w:hAnsi="Arial" w:cs="Calibri"/>
          <w:i/>
          <w:iCs/>
          <w:kern w:val="0"/>
          <w:sz w:val="20"/>
          <w:szCs w:val="20"/>
          <w:lang w:val="en-US"/>
          <w14:ligatures w14:val="none"/>
        </w:rPr>
        <w:t>Phe80</w:t>
      </w:r>
      <w:r w:rsidR="00661B8A" w:rsidRPr="00661B8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, </w:t>
      </w:r>
      <w:r w:rsidR="00661B8A" w:rsidRPr="00661B8A">
        <w:rPr>
          <w:rFonts w:ascii="Arial" w:eastAsia="Calibri" w:hAnsi="Arial" w:cs="Calibri"/>
          <w:i/>
          <w:iCs/>
          <w:kern w:val="0"/>
          <w:sz w:val="20"/>
          <w:szCs w:val="20"/>
          <w:lang w:val="en-US"/>
          <w14:ligatures w14:val="none"/>
        </w:rPr>
        <w:t>Cys83</w:t>
      </w:r>
      <w:r w:rsidR="00661B8A" w:rsidRPr="00661B8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and </w:t>
      </w:r>
      <w:r w:rsidR="00661B8A" w:rsidRPr="00661B8A">
        <w:rPr>
          <w:rFonts w:ascii="Arial" w:eastAsia="Calibri" w:hAnsi="Arial" w:cs="Calibri"/>
          <w:i/>
          <w:iCs/>
          <w:kern w:val="0"/>
          <w:sz w:val="20"/>
          <w:szCs w:val="20"/>
          <w:lang w:val="en-US"/>
          <w14:ligatures w14:val="none"/>
        </w:rPr>
        <w:t>Lys33</w:t>
      </w:r>
      <w:r w:rsidR="00661B8A" w:rsidRPr="00661B8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with their specific interactions to the BFP representative analogs, were identified. The drug-like properties </w:t>
      </w:r>
      <w:r w:rsidR="0059759B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assessment </w:t>
      </w:r>
      <w:r w:rsidR="00661B8A" w:rsidRPr="00661B8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demonstrated the potential of the analogs for drug development, with their good bioavailability score and optimum synthetic accessibility.</w:t>
      </w:r>
    </w:p>
    <w:p w14:paraId="777A9E0F" w14:textId="14247D1A" w:rsidR="2021B9E9" w:rsidRDefault="2021B9E9" w:rsidP="2021B9E9">
      <w:pPr>
        <w:spacing w:after="0" w:line="240" w:lineRule="auto"/>
        <w:jc w:val="both"/>
        <w:rPr>
          <w:rFonts w:ascii="Arial" w:eastAsia="Calibri" w:hAnsi="Arial" w:cs="Calibri"/>
          <w:sz w:val="20"/>
          <w:szCs w:val="20"/>
          <w:lang w:val="en-US"/>
        </w:rPr>
      </w:pPr>
    </w:p>
    <w:p w14:paraId="37012700" w14:textId="6E4DAD5C" w:rsidR="00C315D2" w:rsidRDefault="00047AD9" w:rsidP="00047AD9">
      <w:pPr>
        <w:spacing w:after="0" w:line="240" w:lineRule="auto"/>
        <w:jc w:val="center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  <w:r w:rsidRPr="001104B6">
        <w:rPr>
          <w:rFonts w:ascii="Times New Roman" w:hAnsi="Times New Roman" w:cs="Times New Roman"/>
          <w:spacing w:val="-2"/>
        </w:rPr>
        <w:object w:dxaOrig="8791" w:dyaOrig="2818" w14:anchorId="52AA67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5pt;height:139pt" o:ole="">
            <v:imagedata r:id="rId11" o:title=""/>
          </v:shape>
          <o:OLEObject Type="Embed" ProgID="ChemDraw.Document.6.0" ShapeID="_x0000_i1025" DrawAspect="Content" ObjectID="_1815331293" r:id="rId12"/>
        </w:object>
      </w:r>
    </w:p>
    <w:p w14:paraId="37683296" w14:textId="7ED42676" w:rsidR="00C315D2" w:rsidRDefault="00C315D2" w:rsidP="00091A99">
      <w:pPr>
        <w:spacing w:after="0" w:line="240" w:lineRule="auto"/>
        <w:jc w:val="center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 xml:space="preserve">Figure 1. </w:t>
      </w:r>
      <w:r w:rsidR="00B6091B" w:rsidRPr="00B6091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The derivatization plan for the optimization of the BFP core structure. The coding nomenclature is as follows: </w:t>
      </w:r>
      <w:r w:rsidR="00B6091B" w:rsidRPr="00B6091B"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>B</w:t>
      </w:r>
      <w:r w:rsidR="00B6091B" w:rsidRPr="00B6091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stands for Benzofuropyridine; and</w:t>
      </w:r>
      <w:r w:rsidR="00B6091B" w:rsidRPr="00B6091B"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 xml:space="preserve"> X</w:t>
      </w:r>
      <w:r w:rsidR="00B6091B" w:rsidRPr="00B6091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represents the analog number in that series.</w:t>
      </w:r>
    </w:p>
    <w:p w14:paraId="11FCEB38" w14:textId="77777777" w:rsidR="00091A99" w:rsidRPr="00091A99" w:rsidRDefault="00091A99" w:rsidP="00091A99">
      <w:pPr>
        <w:spacing w:after="0" w:line="240" w:lineRule="auto"/>
        <w:jc w:val="center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p w14:paraId="6AF901BE" w14:textId="746A0093" w:rsidR="00436A37" w:rsidRDefault="00B8473A" w:rsidP="00436A37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5557F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A61701" w:rsidRPr="00A6170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Th</w:t>
      </w:r>
      <w:r w:rsidR="005A587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is study </w:t>
      </w:r>
      <w:r w:rsidR="00A61701" w:rsidRPr="00A6170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offer</w:t>
      </w:r>
      <w:r w:rsidR="0080627A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ed</w:t>
      </w:r>
      <w:r w:rsidR="00A61701" w:rsidRPr="00A6170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a more cohesive understanding of the relationship between the substitution of the B</w:t>
      </w:r>
      <w:r w:rsidR="005A587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enzofuropyridine</w:t>
      </w:r>
      <w:r w:rsidR="00A61701" w:rsidRPr="00A6170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and its improved biological therapeutic functions. Altogether, </w:t>
      </w:r>
      <w:r w:rsidR="005A587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it</w:t>
      </w:r>
      <w:r w:rsidR="00A61701" w:rsidRPr="00A6170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provided fundamental information on the medicinal chemistry of the BFP, its synthetic derivatization, and</w:t>
      </w:r>
      <w:r w:rsidR="006A696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the production of</w:t>
      </w:r>
      <w:r w:rsidR="00A61701" w:rsidRPr="00A6170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potent and more selective </w:t>
      </w:r>
      <w:r w:rsidR="006A696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drugs</w:t>
      </w:r>
      <w:r w:rsidR="00080CF9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,</w:t>
      </w:r>
      <w:r w:rsidR="006A696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1B69A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highlighting the imminent po</w:t>
      </w:r>
      <w:r w:rsidR="00080CF9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ssibility</w:t>
      </w:r>
      <w:r w:rsidR="001B69A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of </w:t>
      </w:r>
      <w:r w:rsidR="00E47FE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using computer algorithms for future drug design</w:t>
      </w:r>
      <w:r w:rsidR="0086670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and development</w:t>
      </w:r>
      <w:r w:rsidR="00E47FE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</w:p>
    <w:p w14:paraId="78676FD1" w14:textId="77777777" w:rsidR="000734B7" w:rsidRDefault="000734B7" w:rsidP="00436A37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p w14:paraId="444482F6" w14:textId="0E0CC40B" w:rsidR="000734B7" w:rsidRPr="00436A37" w:rsidRDefault="000734B7" w:rsidP="00436A37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Special thanks to </w:t>
      </w:r>
      <w:r w:rsidR="00966FA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Assoc. Prof. Dr. T. Khotavivattana of Chulalongkorn University, Thailand for the </w:t>
      </w:r>
      <w:r w:rsidR="000F701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supervision.</w:t>
      </w: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2C801966" w14:textId="7163DBF5" w:rsidR="00C315D2" w:rsidRDefault="00C315D2" w:rsidP="00C915BB">
      <w:pPr>
        <w:tabs>
          <w:tab w:val="left" w:pos="2030"/>
        </w:tabs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</w:t>
      </w:r>
      <w:r w:rsidR="00C915BB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ab/>
      </w:r>
    </w:p>
    <w:p w14:paraId="217A7A31" w14:textId="611694AD" w:rsidR="001B11F9" w:rsidRPr="00C915BB" w:rsidRDefault="001B11F9" w:rsidP="00C915BB">
      <w:pPr>
        <w:pStyle w:val="EndNoteBibliography"/>
        <w:spacing w:after="0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(1) </w:t>
      </w:r>
      <w:r w:rsidR="008B5005" w:rsidRPr="00C915B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fldChar w:fldCharType="begin"/>
      </w:r>
      <w:r w:rsidR="008B5005" w:rsidRPr="00C915B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instrText xml:space="preserve"> ADDIN EN.REFLIST </w:instrText>
      </w:r>
      <w:r w:rsidR="008B5005" w:rsidRPr="00C915B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fldChar w:fldCharType="separate"/>
      </w:r>
      <w:r w:rsidR="00C915BB" w:rsidRPr="00C915BB">
        <w:rPr>
          <w:rFonts w:ascii="Arial" w:hAnsi="Arial" w:cs="Arial"/>
          <w:sz w:val="20"/>
          <w:szCs w:val="20"/>
        </w:rPr>
        <w:t xml:space="preserve">Brachwitz, Kristin, and Andreas Hilgeroth. "Synthesis and First Biological Evaluation of 1-Aza-9-Oxafluorenes as Novel Lead Structures for the Development of Small-Sized Cytostatics." </w:t>
      </w:r>
      <w:r w:rsidR="00C915BB" w:rsidRPr="00C915BB">
        <w:rPr>
          <w:rFonts w:ascii="Arial" w:hAnsi="Arial" w:cs="Arial"/>
          <w:i/>
          <w:sz w:val="20"/>
          <w:szCs w:val="20"/>
        </w:rPr>
        <w:t xml:space="preserve">Bioorganic &amp; Medicinal Chemistry Letters </w:t>
      </w:r>
      <w:r w:rsidR="00C915BB" w:rsidRPr="00C915BB">
        <w:rPr>
          <w:rFonts w:ascii="Arial" w:hAnsi="Arial" w:cs="Arial"/>
          <w:sz w:val="20"/>
          <w:szCs w:val="20"/>
        </w:rPr>
        <w:t xml:space="preserve">12.3 (2002): 411-13. </w:t>
      </w:r>
    </w:p>
    <w:p w14:paraId="0FC39D65" w14:textId="693B7122" w:rsidR="00C915BB" w:rsidRPr="00C915BB" w:rsidRDefault="001B11F9" w:rsidP="001B11F9">
      <w:pPr>
        <w:pStyle w:val="EndNoteBibliography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="00C915BB" w:rsidRPr="00C915BB">
        <w:rPr>
          <w:rFonts w:ascii="Arial" w:hAnsi="Arial" w:cs="Arial"/>
          <w:sz w:val="20"/>
          <w:szCs w:val="20"/>
        </w:rPr>
        <w:t xml:space="preserve">Holzer, Max, et al. "Novel Protein Kinase Inhibitors Related to Tau Pathology Modulate Tau ProteinSelf Interaction Using a Luciferase Complementation Assay." </w:t>
      </w:r>
      <w:r w:rsidR="00C915BB" w:rsidRPr="00C915BB">
        <w:rPr>
          <w:rFonts w:ascii="Arial" w:hAnsi="Arial" w:cs="Arial"/>
          <w:i/>
          <w:sz w:val="20"/>
          <w:szCs w:val="20"/>
        </w:rPr>
        <w:t xml:space="preserve">Molecules </w:t>
      </w:r>
      <w:r w:rsidR="00C915BB" w:rsidRPr="00C915BB">
        <w:rPr>
          <w:rFonts w:ascii="Arial" w:hAnsi="Arial" w:cs="Arial"/>
          <w:sz w:val="20"/>
          <w:szCs w:val="20"/>
        </w:rPr>
        <w:t xml:space="preserve">23.9 (2018): 2335-35. </w:t>
      </w:r>
    </w:p>
    <w:p w14:paraId="29931986" w14:textId="3CA8053E" w:rsidR="00C915BB" w:rsidRPr="00C915BB" w:rsidRDefault="001B11F9" w:rsidP="001B11F9">
      <w:pPr>
        <w:pStyle w:val="EndNoteBibliography"/>
        <w:spacing w:after="0"/>
        <w:rPr>
          <w:rFonts w:ascii="Arial" w:hAnsi="Arial" w:cs="Arial"/>
          <w:sz w:val="20"/>
          <w:szCs w:val="20"/>
        </w:rPr>
      </w:pPr>
      <w:r w:rsidRPr="001B11F9">
        <w:rPr>
          <w:rFonts w:ascii="Arial" w:hAnsi="Arial" w:cs="Arial"/>
          <w:sz w:val="20"/>
          <w:szCs w:val="20"/>
          <w:lang w:val="de-DE"/>
        </w:rPr>
        <w:t xml:space="preserve">(3) </w:t>
      </w:r>
      <w:r w:rsidR="00C915BB" w:rsidRPr="001B11F9">
        <w:rPr>
          <w:rFonts w:ascii="Arial" w:hAnsi="Arial" w:cs="Arial"/>
          <w:sz w:val="20"/>
          <w:szCs w:val="20"/>
          <w:lang w:val="de-DE"/>
        </w:rPr>
        <w:t xml:space="preserve">Lenjisa, Jimma Likisa, et al. </w:t>
      </w:r>
      <w:r w:rsidR="00C915BB" w:rsidRPr="00C915BB">
        <w:rPr>
          <w:rFonts w:ascii="Arial" w:hAnsi="Arial" w:cs="Arial"/>
          <w:sz w:val="20"/>
          <w:szCs w:val="20"/>
        </w:rPr>
        <w:t xml:space="preserve">"Cdk5 in Oncology: Recent Advances and Future Prospects." </w:t>
      </w:r>
      <w:r w:rsidR="00C915BB" w:rsidRPr="00C915BB">
        <w:rPr>
          <w:rFonts w:ascii="Arial" w:hAnsi="Arial" w:cs="Arial"/>
          <w:i/>
          <w:sz w:val="20"/>
          <w:szCs w:val="20"/>
        </w:rPr>
        <w:t xml:space="preserve">Future Medicinal Chemistry </w:t>
      </w:r>
      <w:r w:rsidR="00C915BB" w:rsidRPr="00C915BB">
        <w:rPr>
          <w:rFonts w:ascii="Arial" w:hAnsi="Arial" w:cs="Arial"/>
          <w:sz w:val="20"/>
          <w:szCs w:val="20"/>
        </w:rPr>
        <w:t xml:space="preserve">9.16 (2017): 1939-62. </w:t>
      </w:r>
    </w:p>
    <w:p w14:paraId="7D6E388F" w14:textId="0B46E1BB" w:rsidR="00113BB7" w:rsidRPr="00C915BB" w:rsidRDefault="008B5005" w:rsidP="00C315D2">
      <w:pPr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C915BB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fldChar w:fldCharType="end"/>
      </w:r>
    </w:p>
    <w:sectPr w:rsidR="00113BB7" w:rsidRPr="00C915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89EE" w14:textId="77777777" w:rsidR="0090513E" w:rsidRDefault="0090513E" w:rsidP="00C915BB">
      <w:pPr>
        <w:spacing w:after="0" w:line="240" w:lineRule="auto"/>
      </w:pPr>
      <w:r>
        <w:separator/>
      </w:r>
    </w:p>
  </w:endnote>
  <w:endnote w:type="continuationSeparator" w:id="0">
    <w:p w14:paraId="3A64431A" w14:textId="77777777" w:rsidR="0090513E" w:rsidRDefault="0090513E" w:rsidP="00C9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4149F" w14:textId="77777777" w:rsidR="0090513E" w:rsidRDefault="0090513E" w:rsidP="00C915BB">
      <w:pPr>
        <w:spacing w:after="0" w:line="240" w:lineRule="auto"/>
      </w:pPr>
      <w:r>
        <w:separator/>
      </w:r>
    </w:p>
  </w:footnote>
  <w:footnote w:type="continuationSeparator" w:id="0">
    <w:p w14:paraId="11FCAA6F" w14:textId="77777777" w:rsidR="0090513E" w:rsidRDefault="0090513E" w:rsidP="00C91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402D8"/>
    <w:multiLevelType w:val="hybridMultilevel"/>
    <w:tmpl w:val="947CD03A"/>
    <w:lvl w:ilvl="0" w:tplc="5588A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1"/>
  </w:num>
  <w:num w:numId="2" w16cid:durableId="214461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p59rtxp4zv9zhepr9cv0px4s2xpwpt50dws&quot;&gt;Marky Endnote Library&lt;record-ids&gt;&lt;item&gt;10&lt;/item&gt;&lt;item&gt;21&lt;/item&gt;&lt;item&gt;28&lt;/item&gt;&lt;item&gt;320&lt;/item&gt;&lt;item&gt;327&lt;/item&gt;&lt;/record-ids&gt;&lt;/item&gt;&lt;/Libraries&gt;"/>
  </w:docVars>
  <w:rsids>
    <w:rsidRoot w:val="00C315D2"/>
    <w:rsid w:val="00007E5F"/>
    <w:rsid w:val="00014901"/>
    <w:rsid w:val="00047AD9"/>
    <w:rsid w:val="000734B7"/>
    <w:rsid w:val="00080CF9"/>
    <w:rsid w:val="00091A99"/>
    <w:rsid w:val="000C2B70"/>
    <w:rsid w:val="000F7012"/>
    <w:rsid w:val="00107368"/>
    <w:rsid w:val="00113BB7"/>
    <w:rsid w:val="001B11F9"/>
    <w:rsid w:val="001B69A8"/>
    <w:rsid w:val="001C32A5"/>
    <w:rsid w:val="002017E6"/>
    <w:rsid w:val="00205D62"/>
    <w:rsid w:val="00216D4A"/>
    <w:rsid w:val="00251F7E"/>
    <w:rsid w:val="00294059"/>
    <w:rsid w:val="002D4632"/>
    <w:rsid w:val="003206E4"/>
    <w:rsid w:val="003A59C2"/>
    <w:rsid w:val="003A6368"/>
    <w:rsid w:val="003A6D5C"/>
    <w:rsid w:val="00430544"/>
    <w:rsid w:val="00436A37"/>
    <w:rsid w:val="004451F9"/>
    <w:rsid w:val="00461322"/>
    <w:rsid w:val="004A51B6"/>
    <w:rsid w:val="004B4652"/>
    <w:rsid w:val="00510CF8"/>
    <w:rsid w:val="00520060"/>
    <w:rsid w:val="00524CF8"/>
    <w:rsid w:val="005557F0"/>
    <w:rsid w:val="00575A29"/>
    <w:rsid w:val="0059759B"/>
    <w:rsid w:val="005A5878"/>
    <w:rsid w:val="00601754"/>
    <w:rsid w:val="00614A54"/>
    <w:rsid w:val="00622DC5"/>
    <w:rsid w:val="0063531C"/>
    <w:rsid w:val="00661B8A"/>
    <w:rsid w:val="00675F52"/>
    <w:rsid w:val="006858B4"/>
    <w:rsid w:val="006A34BE"/>
    <w:rsid w:val="006A6967"/>
    <w:rsid w:val="006D20D2"/>
    <w:rsid w:val="006F3F1C"/>
    <w:rsid w:val="007141F2"/>
    <w:rsid w:val="007561D8"/>
    <w:rsid w:val="00795378"/>
    <w:rsid w:val="00796206"/>
    <w:rsid w:val="007C367E"/>
    <w:rsid w:val="007E4D0B"/>
    <w:rsid w:val="0080627A"/>
    <w:rsid w:val="008071C5"/>
    <w:rsid w:val="00866708"/>
    <w:rsid w:val="008B5005"/>
    <w:rsid w:val="0090513E"/>
    <w:rsid w:val="00906D34"/>
    <w:rsid w:val="00923C4D"/>
    <w:rsid w:val="00933DC9"/>
    <w:rsid w:val="00936D4C"/>
    <w:rsid w:val="009523F9"/>
    <w:rsid w:val="009650DF"/>
    <w:rsid w:val="00966FAF"/>
    <w:rsid w:val="009A0C4D"/>
    <w:rsid w:val="009B1CBB"/>
    <w:rsid w:val="00A0516D"/>
    <w:rsid w:val="00A61701"/>
    <w:rsid w:val="00A87F4C"/>
    <w:rsid w:val="00AB7301"/>
    <w:rsid w:val="00B4721D"/>
    <w:rsid w:val="00B6091B"/>
    <w:rsid w:val="00B8473A"/>
    <w:rsid w:val="00C044ED"/>
    <w:rsid w:val="00C1476F"/>
    <w:rsid w:val="00C21815"/>
    <w:rsid w:val="00C315D2"/>
    <w:rsid w:val="00C353D8"/>
    <w:rsid w:val="00C84B50"/>
    <w:rsid w:val="00C915BB"/>
    <w:rsid w:val="00CC3C40"/>
    <w:rsid w:val="00CF5A91"/>
    <w:rsid w:val="00D02BB1"/>
    <w:rsid w:val="00D21B45"/>
    <w:rsid w:val="00D45A74"/>
    <w:rsid w:val="00D7428F"/>
    <w:rsid w:val="00DC15EE"/>
    <w:rsid w:val="00DD5758"/>
    <w:rsid w:val="00E47FEB"/>
    <w:rsid w:val="00E50131"/>
    <w:rsid w:val="00E86E24"/>
    <w:rsid w:val="00EC3746"/>
    <w:rsid w:val="00F04BF0"/>
    <w:rsid w:val="00F24FBE"/>
    <w:rsid w:val="00F44FA7"/>
    <w:rsid w:val="00F539FB"/>
    <w:rsid w:val="00F85528"/>
    <w:rsid w:val="00FF0E39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8B5005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B5005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B5005"/>
    <w:pPr>
      <w:spacing w:line="240" w:lineRule="auto"/>
      <w:jc w:val="both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B5005"/>
    <w:rPr>
      <w:rFonts w:ascii="Aptos" w:hAnsi="Aptos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8B50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0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1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5BB"/>
  </w:style>
  <w:style w:type="paragraph" w:styleId="Footer">
    <w:name w:val="footer"/>
    <w:basedOn w:val="Normal"/>
    <w:link w:val="FooterChar"/>
    <w:uiPriority w:val="99"/>
    <w:unhideWhenUsed/>
    <w:rsid w:val="00C91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A89B8D-FD7F-4CC4-83FF-9B29AD8A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Reymark Ereje</cp:lastModifiedBy>
  <cp:revision>61</cp:revision>
  <dcterms:created xsi:type="dcterms:W3CDTF">2025-07-29T12:59:00Z</dcterms:created>
  <dcterms:modified xsi:type="dcterms:W3CDTF">2025-07-29T13:53:00Z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