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6A9E1" w14:textId="4D387B78" w:rsidR="00AA701C" w:rsidRPr="003A4731" w:rsidRDefault="00AA701C" w:rsidP="0095136B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 w:rsidRPr="003A4731">
        <w:rPr>
          <w:rFonts w:ascii="Calibri" w:hAnsi="Calibri" w:cs="Calibri"/>
          <w:b/>
          <w:bCs/>
          <w:sz w:val="20"/>
          <w:szCs w:val="20"/>
          <w:lang w:val="en-AU"/>
        </w:rPr>
        <w:t xml:space="preserve">Are Antipsychotic Adverse Events </w:t>
      </w:r>
      <w:r w:rsidR="00205FB5" w:rsidRPr="003A4731">
        <w:rPr>
          <w:rFonts w:ascii="Calibri" w:hAnsi="Calibri" w:cs="Calibri"/>
          <w:b/>
          <w:bCs/>
          <w:sz w:val="20"/>
          <w:szCs w:val="20"/>
          <w:lang w:val="en-AU"/>
        </w:rPr>
        <w:t>Reported Differently Between Older and Younger Adults?</w:t>
      </w:r>
    </w:p>
    <w:p w14:paraId="2B58A048" w14:textId="4FE2BA01" w:rsidR="00711813" w:rsidRPr="004E5450" w:rsidRDefault="007102BE" w:rsidP="0095136B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Brigid E. McInerney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Amanda J. Cross</w:t>
      </w:r>
      <w:r w:rsidR="003D0CBE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3D0CBE" w:rsidRPr="003D0CBE">
        <w:rPr>
          <w:rFonts w:ascii="Calibri" w:hAnsi="Calibri" w:cs="Calibri"/>
          <w:sz w:val="20"/>
          <w:szCs w:val="20"/>
          <w:lang w:val="en-AU"/>
        </w:rPr>
        <w:t>,</w:t>
      </w:r>
      <w:r>
        <w:rPr>
          <w:rFonts w:ascii="Calibri" w:hAnsi="Calibri" w:cs="Calibri"/>
          <w:sz w:val="20"/>
          <w:szCs w:val="20"/>
          <w:lang w:val="en-AU"/>
        </w:rPr>
        <w:t xml:space="preserve"> Justin P. Turner</w:t>
      </w:r>
      <w:r w:rsidR="004B5A9E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J. Simon Bell</w:t>
      </w:r>
      <w:r w:rsidR="004B5A9E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.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Centre for Medicine Use and Safety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Monash University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Parkville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VIC</w:t>
      </w:r>
      <w:r w:rsidR="00EF12F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Australia.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0209AFB2" w14:textId="1243762C" w:rsidR="00711813" w:rsidRPr="004E5450" w:rsidRDefault="00711813" w:rsidP="0095136B">
      <w:pPr>
        <w:pStyle w:val="Default"/>
        <w:jc w:val="both"/>
        <w:rPr>
          <w:color w:val="auto"/>
          <w:sz w:val="20"/>
          <w:szCs w:val="20"/>
          <w:lang w:val="en-AU"/>
        </w:rPr>
      </w:pPr>
    </w:p>
    <w:p w14:paraId="48A5E25B" w14:textId="0C89B0A4" w:rsidR="00711813" w:rsidRPr="00D95BF9" w:rsidRDefault="00711813" w:rsidP="0095136B">
      <w:pPr>
        <w:jc w:val="both"/>
        <w:rPr>
          <w:rFonts w:ascii="Calibri" w:hAnsi="Calibri" w:cs="Calibri"/>
          <w:sz w:val="15"/>
          <w:szCs w:val="15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95BF9" w:rsidRPr="00D95BF9">
        <w:rPr>
          <w:rFonts w:ascii="Calibri" w:hAnsi="Calibri" w:cs="Calibri"/>
          <w:sz w:val="20"/>
          <w:szCs w:val="20"/>
        </w:rPr>
        <w:t xml:space="preserve">Signs and symptoms of adverse drug events (ADEs) in older people may be challenging to differentiate from those due to a medical condition or the ageing process. </w:t>
      </w:r>
      <w:r w:rsidR="00EC22FF" w:rsidRPr="00D95BF9">
        <w:rPr>
          <w:rFonts w:ascii="Calibri" w:hAnsi="Calibri" w:cs="Calibri"/>
          <w:sz w:val="20"/>
          <w:szCs w:val="20"/>
        </w:rPr>
        <w:t>Spontaneous</w:t>
      </w:r>
      <w:r w:rsidR="005936B9">
        <w:rPr>
          <w:rFonts w:ascii="Calibri" w:hAnsi="Calibri" w:cs="Calibri"/>
          <w:sz w:val="20"/>
          <w:szCs w:val="20"/>
        </w:rPr>
        <w:t xml:space="preserve"> </w:t>
      </w:r>
      <w:r w:rsidR="00D95BF9" w:rsidRPr="00D95BF9">
        <w:rPr>
          <w:rFonts w:ascii="Calibri" w:hAnsi="Calibri" w:cs="Calibri"/>
          <w:sz w:val="20"/>
          <w:szCs w:val="20"/>
        </w:rPr>
        <w:t xml:space="preserve">ADE </w:t>
      </w:r>
      <w:r w:rsidR="005936B9">
        <w:rPr>
          <w:rFonts w:ascii="Calibri" w:hAnsi="Calibri" w:cs="Calibri"/>
          <w:sz w:val="20"/>
          <w:szCs w:val="20"/>
        </w:rPr>
        <w:t xml:space="preserve">reports </w:t>
      </w:r>
      <w:r w:rsidR="00D95BF9" w:rsidRPr="00D95BF9">
        <w:rPr>
          <w:rFonts w:ascii="Calibri" w:hAnsi="Calibri" w:cs="Calibri"/>
          <w:sz w:val="20"/>
          <w:szCs w:val="20"/>
        </w:rPr>
        <w:t xml:space="preserve">complement clinical trial data </w:t>
      </w:r>
      <w:r w:rsidR="005936B9">
        <w:rPr>
          <w:rFonts w:ascii="Calibri" w:hAnsi="Calibri" w:cs="Calibri"/>
          <w:sz w:val="20"/>
          <w:szCs w:val="20"/>
        </w:rPr>
        <w:t xml:space="preserve">by </w:t>
      </w:r>
      <w:r w:rsidR="00D95BF9" w:rsidRPr="00D95BF9">
        <w:rPr>
          <w:rFonts w:ascii="Calibri" w:hAnsi="Calibri" w:cs="Calibri"/>
          <w:sz w:val="20"/>
          <w:szCs w:val="20"/>
        </w:rPr>
        <w:t>provid</w:t>
      </w:r>
      <w:r w:rsidR="005936B9">
        <w:rPr>
          <w:rFonts w:ascii="Calibri" w:hAnsi="Calibri" w:cs="Calibri"/>
          <w:sz w:val="20"/>
          <w:szCs w:val="20"/>
        </w:rPr>
        <w:t>ing</w:t>
      </w:r>
      <w:r w:rsidR="00D95BF9" w:rsidRPr="00D95BF9">
        <w:rPr>
          <w:rFonts w:ascii="Calibri" w:hAnsi="Calibri" w:cs="Calibri"/>
          <w:sz w:val="20"/>
          <w:szCs w:val="20"/>
        </w:rPr>
        <w:t xml:space="preserve"> </w:t>
      </w:r>
      <w:r w:rsidR="005936B9">
        <w:rPr>
          <w:rFonts w:ascii="Calibri" w:hAnsi="Calibri" w:cs="Calibri"/>
          <w:sz w:val="20"/>
          <w:szCs w:val="20"/>
        </w:rPr>
        <w:t>real-world safety insights</w:t>
      </w:r>
      <w:r w:rsidR="00D95BF9" w:rsidRPr="00D95BF9">
        <w:rPr>
          <w:rFonts w:ascii="Calibri" w:hAnsi="Calibri" w:cs="Calibri"/>
          <w:sz w:val="20"/>
          <w:szCs w:val="20"/>
        </w:rPr>
        <w:t xml:space="preserve">. </w:t>
      </w:r>
    </w:p>
    <w:p w14:paraId="1EE99AB9" w14:textId="66A00431" w:rsidR="00711813" w:rsidRPr="00D95BF9" w:rsidRDefault="00711813" w:rsidP="0095136B">
      <w:pPr>
        <w:jc w:val="both"/>
        <w:rPr>
          <w:rFonts w:ascii="Calibri" w:hAnsi="Calibri" w:cs="Calibri"/>
          <w:sz w:val="15"/>
          <w:szCs w:val="15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D95BF9">
        <w:rPr>
          <w:rFonts w:ascii="Calibri" w:hAnsi="Calibri" w:cs="Calibri"/>
          <w:sz w:val="20"/>
          <w:szCs w:val="20"/>
        </w:rPr>
        <w:t>T</w:t>
      </w:r>
      <w:r w:rsidR="00D95BF9" w:rsidRPr="00D95BF9">
        <w:rPr>
          <w:rFonts w:ascii="Calibri" w:hAnsi="Calibri" w:cs="Calibri"/>
          <w:sz w:val="20"/>
          <w:szCs w:val="20"/>
        </w:rPr>
        <w:t xml:space="preserve">o </w:t>
      </w:r>
      <w:proofErr w:type="gramStart"/>
      <w:r w:rsidR="00D95BF9" w:rsidRPr="00D95BF9">
        <w:rPr>
          <w:rFonts w:ascii="Calibri" w:hAnsi="Calibri" w:cs="Calibri"/>
          <w:sz w:val="20"/>
          <w:szCs w:val="20"/>
        </w:rPr>
        <w:t>compare and contrast</w:t>
      </w:r>
      <w:proofErr w:type="gramEnd"/>
      <w:r w:rsidR="00D95BF9" w:rsidRPr="00D95BF9">
        <w:rPr>
          <w:rFonts w:ascii="Calibri" w:hAnsi="Calibri" w:cs="Calibri"/>
          <w:sz w:val="20"/>
          <w:szCs w:val="20"/>
        </w:rPr>
        <w:t xml:space="preserve"> antipsychotic-related ADEs in older and younger adults and explore implicated first- and second-generation antipsychotics </w:t>
      </w:r>
      <w:r w:rsidR="000B7E0E">
        <w:rPr>
          <w:rFonts w:ascii="Calibri" w:hAnsi="Calibri" w:cs="Calibri"/>
          <w:sz w:val="20"/>
          <w:szCs w:val="20"/>
        </w:rPr>
        <w:t xml:space="preserve">(FGAs/SGAs) </w:t>
      </w:r>
      <w:r w:rsidR="00D95BF9">
        <w:rPr>
          <w:rFonts w:ascii="Calibri" w:hAnsi="Calibri" w:cs="Calibri"/>
          <w:sz w:val="20"/>
          <w:szCs w:val="20"/>
        </w:rPr>
        <w:t>in</w:t>
      </w:r>
      <w:r w:rsidR="00D95BF9" w:rsidRPr="00D95BF9">
        <w:rPr>
          <w:rFonts w:ascii="Calibri" w:hAnsi="Calibri" w:cs="Calibri"/>
          <w:sz w:val="20"/>
          <w:szCs w:val="20"/>
        </w:rPr>
        <w:t xml:space="preserve"> reports submitted to the United States Food and Drug Administration Adverse Event Reporting System and the Australian Therapeutic Goods Administration Database of Adverse Event Notifications.</w:t>
      </w:r>
    </w:p>
    <w:p w14:paraId="02E177A3" w14:textId="6A44860E" w:rsidR="00711813" w:rsidRPr="00D95BF9" w:rsidRDefault="00711813" w:rsidP="0095136B">
      <w:pPr>
        <w:jc w:val="both"/>
        <w:rPr>
          <w:rFonts w:ascii="Calibri" w:hAnsi="Calibri" w:cs="Calibri"/>
          <w:sz w:val="15"/>
          <w:szCs w:val="15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5936B9">
        <w:rPr>
          <w:rFonts w:ascii="Calibri" w:hAnsi="Calibri" w:cs="Calibri"/>
          <w:sz w:val="20"/>
          <w:szCs w:val="20"/>
          <w:lang w:val="en-AU"/>
        </w:rPr>
        <w:t>Reports from</w:t>
      </w:r>
      <w:r w:rsidR="00D95BF9" w:rsidRPr="00D95BF9">
        <w:rPr>
          <w:rFonts w:ascii="Calibri" w:hAnsi="Calibri" w:cs="Calibri"/>
          <w:sz w:val="20"/>
          <w:szCs w:val="20"/>
          <w:shd w:val="clear" w:color="auto" w:fill="FFFFFF"/>
        </w:rPr>
        <w:t xml:space="preserve"> 1971</w:t>
      </w:r>
      <w:r w:rsidR="005936B9">
        <w:rPr>
          <w:rFonts w:ascii="Calibri" w:hAnsi="Calibri" w:cs="Calibri"/>
          <w:sz w:val="20"/>
          <w:szCs w:val="20"/>
          <w:shd w:val="clear" w:color="auto" w:fill="FFFFFF"/>
        </w:rPr>
        <w:t>-</w:t>
      </w:r>
      <w:r w:rsidR="00D95BF9" w:rsidRPr="00D95BF9">
        <w:rPr>
          <w:rFonts w:ascii="Calibri" w:hAnsi="Calibri" w:cs="Calibri"/>
          <w:sz w:val="20"/>
          <w:szCs w:val="20"/>
          <w:shd w:val="clear" w:color="auto" w:fill="FFFFFF"/>
        </w:rPr>
        <w:t>2024</w:t>
      </w:r>
      <w:r w:rsidR="005936B9">
        <w:rPr>
          <w:rFonts w:ascii="Calibri" w:hAnsi="Calibri" w:cs="Calibri"/>
          <w:sz w:val="20"/>
          <w:szCs w:val="20"/>
          <w:shd w:val="clear" w:color="auto" w:fill="FFFFFF"/>
        </w:rPr>
        <w:t xml:space="preserve"> were </w:t>
      </w:r>
      <w:proofErr w:type="spellStart"/>
      <w:r w:rsidR="005936B9">
        <w:rPr>
          <w:rFonts w:ascii="Calibri" w:hAnsi="Calibri" w:cs="Calibri"/>
          <w:sz w:val="20"/>
          <w:szCs w:val="20"/>
          <w:shd w:val="clear" w:color="auto" w:fill="FFFFFF"/>
        </w:rPr>
        <w:t>analysed</w:t>
      </w:r>
      <w:proofErr w:type="spellEnd"/>
      <w:r w:rsidR="005936B9">
        <w:rPr>
          <w:rFonts w:ascii="Calibri" w:hAnsi="Calibri" w:cs="Calibri"/>
          <w:sz w:val="20"/>
          <w:szCs w:val="20"/>
          <w:shd w:val="clear" w:color="auto" w:fill="FFFFFF"/>
        </w:rPr>
        <w:t xml:space="preserve"> using d</w:t>
      </w:r>
      <w:r w:rsidR="005936B9" w:rsidRPr="00D95BF9">
        <w:rPr>
          <w:rFonts w:ascii="Calibri" w:hAnsi="Calibri" w:cs="Calibri"/>
          <w:sz w:val="20"/>
          <w:szCs w:val="20"/>
          <w:shd w:val="clear" w:color="auto" w:fill="FFFFFF"/>
        </w:rPr>
        <w:t xml:space="preserve">isproportionality </w:t>
      </w:r>
      <w:r w:rsidR="005936B9">
        <w:rPr>
          <w:rFonts w:ascii="Calibri" w:hAnsi="Calibri" w:cs="Calibri"/>
          <w:sz w:val="20"/>
          <w:szCs w:val="20"/>
          <w:shd w:val="clear" w:color="auto" w:fill="FFFFFF"/>
        </w:rPr>
        <w:t>methods (</w:t>
      </w:r>
      <w:r w:rsidR="00D95BF9" w:rsidRPr="00D95BF9">
        <w:rPr>
          <w:rFonts w:ascii="Calibri" w:hAnsi="Calibri" w:cs="Calibri"/>
          <w:sz w:val="20"/>
          <w:szCs w:val="20"/>
          <w:shd w:val="clear" w:color="auto" w:fill="FFFFFF"/>
        </w:rPr>
        <w:t xml:space="preserve">Risk of Reporting </w:t>
      </w:r>
      <w:r w:rsidR="00002EB9">
        <w:rPr>
          <w:rFonts w:ascii="Calibri" w:hAnsi="Calibri" w:cs="Calibri"/>
          <w:sz w:val="20"/>
          <w:szCs w:val="20"/>
          <w:shd w:val="clear" w:color="auto" w:fill="FFFFFF"/>
        </w:rPr>
        <w:t>[</w:t>
      </w:r>
      <w:r w:rsidR="00D95BF9" w:rsidRPr="00D95BF9">
        <w:rPr>
          <w:rFonts w:ascii="Calibri" w:hAnsi="Calibri" w:cs="Calibri"/>
          <w:sz w:val="20"/>
          <w:szCs w:val="20"/>
          <w:shd w:val="clear" w:color="auto" w:fill="FFFFFF"/>
        </w:rPr>
        <w:t>ROR</w:t>
      </w:r>
      <w:r w:rsidR="00002EB9">
        <w:rPr>
          <w:rFonts w:ascii="Calibri" w:hAnsi="Calibri" w:cs="Calibri"/>
          <w:sz w:val="20"/>
          <w:szCs w:val="20"/>
          <w:shd w:val="clear" w:color="auto" w:fill="FFFFFF"/>
        </w:rPr>
        <w:t>]</w:t>
      </w:r>
      <w:r w:rsidR="005936B9">
        <w:rPr>
          <w:rFonts w:ascii="Calibri" w:hAnsi="Calibri" w:cs="Calibri"/>
          <w:sz w:val="20"/>
          <w:szCs w:val="20"/>
          <w:shd w:val="clear" w:color="auto" w:fill="FFFFFF"/>
        </w:rPr>
        <w:t xml:space="preserve">). </w:t>
      </w:r>
      <w:r w:rsidR="000E3958">
        <w:rPr>
          <w:rFonts w:ascii="Calibri" w:hAnsi="Calibri" w:cs="Calibri"/>
          <w:sz w:val="20"/>
          <w:szCs w:val="20"/>
          <w:shd w:val="clear" w:color="auto" w:fill="FFFFFF"/>
        </w:rPr>
        <w:t>Comparisons were made between</w:t>
      </w:r>
      <w:r w:rsidR="00D95BF9" w:rsidRPr="00D95BF9">
        <w:rPr>
          <w:rFonts w:ascii="Calibri" w:hAnsi="Calibri" w:cs="Calibri"/>
          <w:sz w:val="20"/>
          <w:szCs w:val="20"/>
        </w:rPr>
        <w:t xml:space="preserve"> older adults (≥65 years) </w:t>
      </w:r>
      <w:r w:rsidR="000E3958">
        <w:rPr>
          <w:rFonts w:ascii="Calibri" w:hAnsi="Calibri" w:cs="Calibri"/>
          <w:sz w:val="20"/>
          <w:szCs w:val="20"/>
        </w:rPr>
        <w:t xml:space="preserve">and </w:t>
      </w:r>
      <w:r w:rsidR="00D95BF9" w:rsidRPr="00D95BF9">
        <w:rPr>
          <w:rFonts w:ascii="Calibri" w:hAnsi="Calibri" w:cs="Calibri"/>
          <w:sz w:val="20"/>
          <w:szCs w:val="20"/>
        </w:rPr>
        <w:t xml:space="preserve">younger adults (18-64 years), and </w:t>
      </w:r>
      <w:r w:rsidR="000E3958">
        <w:rPr>
          <w:rFonts w:ascii="Calibri" w:hAnsi="Calibri" w:cs="Calibri"/>
          <w:sz w:val="20"/>
          <w:szCs w:val="20"/>
        </w:rPr>
        <w:t xml:space="preserve">within older age subgroups (65-74, </w:t>
      </w:r>
      <w:r w:rsidR="002576FE">
        <w:rPr>
          <w:rFonts w:ascii="Calibri" w:hAnsi="Calibri" w:cs="Calibri"/>
          <w:sz w:val="20"/>
          <w:szCs w:val="20"/>
        </w:rPr>
        <w:t>75-84</w:t>
      </w:r>
      <w:r w:rsidR="000E3958">
        <w:rPr>
          <w:rFonts w:ascii="Calibri" w:hAnsi="Calibri" w:cs="Calibri"/>
          <w:sz w:val="20"/>
          <w:szCs w:val="20"/>
        </w:rPr>
        <w:t>,</w:t>
      </w:r>
      <w:r w:rsidR="002576FE">
        <w:rPr>
          <w:rFonts w:ascii="Calibri" w:hAnsi="Calibri" w:cs="Calibri"/>
          <w:sz w:val="20"/>
          <w:szCs w:val="20"/>
        </w:rPr>
        <w:t xml:space="preserve"> </w:t>
      </w:r>
      <w:r w:rsidR="002576FE" w:rsidRPr="002576FE">
        <w:rPr>
          <w:rFonts w:ascii="Calibri" w:hAnsi="Calibri" w:cs="Calibri"/>
          <w:sz w:val="20"/>
          <w:szCs w:val="20"/>
        </w:rPr>
        <w:t>≥85 years)</w:t>
      </w:r>
      <w:r w:rsidR="000E3958">
        <w:rPr>
          <w:rFonts w:ascii="Calibri" w:hAnsi="Calibri" w:cs="Calibri"/>
          <w:sz w:val="20"/>
          <w:szCs w:val="20"/>
        </w:rPr>
        <w:t xml:space="preserve">. </w:t>
      </w:r>
      <w:r w:rsidR="000B7E0E">
        <w:rPr>
          <w:rFonts w:ascii="Calibri" w:hAnsi="Calibri" w:cs="Calibri"/>
          <w:sz w:val="20"/>
          <w:szCs w:val="20"/>
        </w:rPr>
        <w:t>FGA</w:t>
      </w:r>
      <w:r w:rsidR="00D95BF9" w:rsidRPr="00D95BF9">
        <w:rPr>
          <w:rFonts w:ascii="Calibri" w:hAnsi="Calibri" w:cs="Calibri"/>
          <w:sz w:val="20"/>
          <w:szCs w:val="20"/>
        </w:rPr>
        <w:t xml:space="preserve"> </w:t>
      </w:r>
      <w:r w:rsidR="00892AE9">
        <w:rPr>
          <w:rFonts w:ascii="Calibri" w:hAnsi="Calibri" w:cs="Calibri"/>
          <w:sz w:val="20"/>
          <w:szCs w:val="20"/>
        </w:rPr>
        <w:t xml:space="preserve">and </w:t>
      </w:r>
      <w:r w:rsidR="000B7E0E">
        <w:rPr>
          <w:rFonts w:ascii="Calibri" w:hAnsi="Calibri" w:cs="Calibri"/>
          <w:sz w:val="20"/>
          <w:szCs w:val="20"/>
        </w:rPr>
        <w:t>SGA</w:t>
      </w:r>
      <w:r w:rsidR="005936B9">
        <w:rPr>
          <w:rFonts w:ascii="Calibri" w:hAnsi="Calibri" w:cs="Calibri"/>
          <w:sz w:val="20"/>
          <w:szCs w:val="20"/>
        </w:rPr>
        <w:t xml:space="preserve"> use </w:t>
      </w:r>
      <w:r w:rsidR="00D95BF9" w:rsidRPr="00D95BF9">
        <w:rPr>
          <w:rFonts w:ascii="Calibri" w:hAnsi="Calibri" w:cs="Calibri"/>
          <w:sz w:val="20"/>
          <w:szCs w:val="20"/>
        </w:rPr>
        <w:t xml:space="preserve">was also </w:t>
      </w:r>
      <w:r w:rsidR="005936B9">
        <w:rPr>
          <w:rFonts w:ascii="Calibri" w:hAnsi="Calibri" w:cs="Calibri"/>
          <w:sz w:val="20"/>
          <w:szCs w:val="20"/>
        </w:rPr>
        <w:t>examined</w:t>
      </w:r>
      <w:r w:rsidR="00D95BF9" w:rsidRPr="00D95BF9">
        <w:rPr>
          <w:rFonts w:ascii="Calibri" w:hAnsi="Calibri" w:cs="Calibri"/>
          <w:sz w:val="20"/>
          <w:szCs w:val="20"/>
        </w:rPr>
        <w:t>.</w:t>
      </w:r>
    </w:p>
    <w:p w14:paraId="1EB7662F" w14:textId="73BF6837" w:rsidR="00711813" w:rsidRPr="00DA367A" w:rsidRDefault="00711813" w:rsidP="0095136B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576FE" w:rsidRPr="002576FE">
        <w:rPr>
          <w:rFonts w:ascii="Calibri" w:hAnsi="Calibri" w:cs="Calibri"/>
          <w:sz w:val="20"/>
          <w:szCs w:val="20"/>
        </w:rPr>
        <w:t>Of 396,</w:t>
      </w:r>
      <w:r w:rsidR="002576FE" w:rsidRPr="00B67E20">
        <w:rPr>
          <w:rFonts w:ascii="Calibri" w:hAnsi="Calibri" w:cs="Calibri"/>
          <w:sz w:val="20"/>
          <w:szCs w:val="20"/>
        </w:rPr>
        <w:t xml:space="preserve">048 </w:t>
      </w:r>
      <w:r w:rsidR="00EC22FF">
        <w:rPr>
          <w:rFonts w:ascii="Calibri" w:hAnsi="Calibri" w:cs="Calibri"/>
          <w:sz w:val="20"/>
          <w:szCs w:val="20"/>
        </w:rPr>
        <w:t>antipsychotic-related</w:t>
      </w:r>
      <w:r w:rsidR="002576FE" w:rsidRPr="00B67E20">
        <w:rPr>
          <w:rFonts w:ascii="Calibri" w:hAnsi="Calibri" w:cs="Calibri"/>
          <w:sz w:val="20"/>
          <w:szCs w:val="20"/>
        </w:rPr>
        <w:t xml:space="preserve"> ADE reports, </w:t>
      </w:r>
      <w:r w:rsidR="002576FE" w:rsidRPr="00B67E20">
        <w:rPr>
          <w:rFonts w:ascii="Calibri" w:hAnsi="Calibri" w:cs="Calibri"/>
          <w:sz w:val="20"/>
          <w:szCs w:val="20"/>
          <w:shd w:val="clear" w:color="auto" w:fill="FFFFFF"/>
        </w:rPr>
        <w:t xml:space="preserve">78,837 (19.9%) </w:t>
      </w:r>
      <w:r w:rsidR="00EC22FF">
        <w:rPr>
          <w:rFonts w:ascii="Calibri" w:hAnsi="Calibri" w:cs="Calibri"/>
          <w:sz w:val="20"/>
          <w:szCs w:val="20"/>
          <w:shd w:val="clear" w:color="auto" w:fill="FFFFFF"/>
        </w:rPr>
        <w:t xml:space="preserve">related </w:t>
      </w:r>
      <w:r w:rsidR="002576FE" w:rsidRPr="00B67E20">
        <w:rPr>
          <w:rFonts w:ascii="Calibri" w:hAnsi="Calibri" w:cs="Calibri"/>
          <w:sz w:val="20"/>
          <w:szCs w:val="20"/>
          <w:shd w:val="clear" w:color="auto" w:fill="FFFFFF"/>
        </w:rPr>
        <w:t xml:space="preserve">to </w:t>
      </w:r>
      <w:r w:rsidR="000E3958" w:rsidRPr="00B67E20">
        <w:rPr>
          <w:rFonts w:ascii="Calibri" w:hAnsi="Calibri" w:cs="Calibri"/>
          <w:sz w:val="20"/>
          <w:szCs w:val="20"/>
          <w:shd w:val="clear" w:color="auto" w:fill="FFFFFF"/>
        </w:rPr>
        <w:t>older adults</w:t>
      </w:r>
      <w:r w:rsidR="00EC22FF">
        <w:rPr>
          <w:rFonts w:ascii="Calibri" w:hAnsi="Calibri" w:cs="Calibri"/>
          <w:sz w:val="20"/>
          <w:szCs w:val="20"/>
          <w:shd w:val="clear" w:color="auto" w:fill="FFFFFF"/>
        </w:rPr>
        <w:t xml:space="preserve"> (≥65 years)</w:t>
      </w:r>
      <w:r w:rsidR="00947E58">
        <w:rPr>
          <w:rFonts w:ascii="Calibri" w:hAnsi="Calibri" w:cs="Calibri"/>
          <w:sz w:val="20"/>
          <w:szCs w:val="20"/>
          <w:shd w:val="clear" w:color="auto" w:fill="FFFFFF"/>
        </w:rPr>
        <w:t xml:space="preserve">, </w:t>
      </w:r>
      <w:r w:rsidR="00BB3190">
        <w:rPr>
          <w:rFonts w:ascii="Calibri" w:hAnsi="Calibri" w:cs="Calibri"/>
          <w:sz w:val="20"/>
          <w:szCs w:val="20"/>
          <w:shd w:val="clear" w:color="auto" w:fill="FFFFFF"/>
        </w:rPr>
        <w:t>3</w:t>
      </w:r>
      <w:r w:rsidR="00671A68">
        <w:rPr>
          <w:rFonts w:ascii="Calibri" w:hAnsi="Calibri" w:cs="Calibri"/>
          <w:sz w:val="20"/>
          <w:szCs w:val="20"/>
          <w:shd w:val="clear" w:color="auto" w:fill="FFFFFF"/>
        </w:rPr>
        <w:t>6</w:t>
      </w:r>
      <w:r w:rsidR="00BB3190">
        <w:rPr>
          <w:rFonts w:ascii="Calibri" w:hAnsi="Calibri" w:cs="Calibri"/>
          <w:sz w:val="20"/>
          <w:szCs w:val="20"/>
          <w:shd w:val="clear" w:color="auto" w:fill="FFFFFF"/>
        </w:rPr>
        <w:t>,</w:t>
      </w:r>
      <w:r w:rsidR="00671A68">
        <w:rPr>
          <w:rFonts w:ascii="Calibri" w:hAnsi="Calibri" w:cs="Calibri"/>
          <w:sz w:val="20"/>
          <w:szCs w:val="20"/>
          <w:shd w:val="clear" w:color="auto" w:fill="FFFFFF"/>
        </w:rPr>
        <w:t>192</w:t>
      </w:r>
      <w:r w:rsidR="00947E58">
        <w:rPr>
          <w:rFonts w:ascii="Calibri" w:hAnsi="Calibri" w:cs="Calibri"/>
          <w:sz w:val="20"/>
          <w:szCs w:val="20"/>
          <w:shd w:val="clear" w:color="auto" w:fill="FFFFFF"/>
        </w:rPr>
        <w:t xml:space="preserve"> (</w:t>
      </w:r>
      <w:r w:rsidR="00AB719A">
        <w:rPr>
          <w:rFonts w:ascii="Calibri" w:hAnsi="Calibri" w:cs="Calibri"/>
          <w:sz w:val="20"/>
          <w:szCs w:val="20"/>
          <w:shd w:val="clear" w:color="auto" w:fill="FFFFFF"/>
        </w:rPr>
        <w:t>9</w:t>
      </w:r>
      <w:r w:rsidR="00367C15">
        <w:rPr>
          <w:rFonts w:ascii="Calibri" w:hAnsi="Calibri" w:cs="Calibri"/>
          <w:sz w:val="20"/>
          <w:szCs w:val="20"/>
          <w:shd w:val="clear" w:color="auto" w:fill="FFFFFF"/>
        </w:rPr>
        <w:t>.</w:t>
      </w:r>
      <w:r w:rsidR="00AB719A">
        <w:rPr>
          <w:rFonts w:ascii="Calibri" w:hAnsi="Calibri" w:cs="Calibri"/>
          <w:sz w:val="20"/>
          <w:szCs w:val="20"/>
          <w:shd w:val="clear" w:color="auto" w:fill="FFFFFF"/>
        </w:rPr>
        <w:t>14</w:t>
      </w:r>
      <w:r w:rsidR="00947E58">
        <w:rPr>
          <w:rFonts w:ascii="Calibri" w:hAnsi="Calibri" w:cs="Calibri"/>
          <w:sz w:val="20"/>
          <w:szCs w:val="20"/>
          <w:shd w:val="clear" w:color="auto" w:fill="FFFFFF"/>
        </w:rPr>
        <w:t xml:space="preserve">%) involved FGAs and </w:t>
      </w:r>
      <w:r w:rsidR="00367C15">
        <w:rPr>
          <w:rFonts w:ascii="Calibri" w:hAnsi="Calibri" w:cs="Calibri"/>
          <w:sz w:val="20"/>
          <w:szCs w:val="20"/>
          <w:shd w:val="clear" w:color="auto" w:fill="FFFFFF"/>
        </w:rPr>
        <w:t>340,329</w:t>
      </w:r>
      <w:r w:rsidR="00947E58">
        <w:rPr>
          <w:rFonts w:ascii="Calibri" w:hAnsi="Calibri" w:cs="Calibri"/>
          <w:sz w:val="20"/>
          <w:szCs w:val="20"/>
          <w:shd w:val="clear" w:color="auto" w:fill="FFFFFF"/>
        </w:rPr>
        <w:t xml:space="preserve"> (</w:t>
      </w:r>
      <w:r w:rsidR="00367C15">
        <w:rPr>
          <w:rFonts w:ascii="Calibri" w:hAnsi="Calibri" w:cs="Calibri"/>
          <w:sz w:val="20"/>
          <w:szCs w:val="20"/>
          <w:shd w:val="clear" w:color="auto" w:fill="FFFFFF"/>
        </w:rPr>
        <w:t>85.93</w:t>
      </w:r>
      <w:r w:rsidR="00947E58">
        <w:rPr>
          <w:rFonts w:ascii="Calibri" w:hAnsi="Calibri" w:cs="Calibri"/>
          <w:sz w:val="20"/>
          <w:szCs w:val="20"/>
          <w:shd w:val="clear" w:color="auto" w:fill="FFFFFF"/>
        </w:rPr>
        <w:t>%) involved SGAs</w:t>
      </w:r>
      <w:r w:rsidR="002576FE" w:rsidRPr="00B67E20">
        <w:rPr>
          <w:rFonts w:ascii="Calibri" w:hAnsi="Calibri" w:cs="Calibri"/>
          <w:sz w:val="20"/>
          <w:szCs w:val="20"/>
          <w:shd w:val="clear" w:color="auto" w:fill="FFFFFF"/>
        </w:rPr>
        <w:t xml:space="preserve">. </w:t>
      </w:r>
      <w:r w:rsidR="002576FE" w:rsidRPr="00B67E20">
        <w:rPr>
          <w:rFonts w:ascii="Calibri" w:hAnsi="Calibri" w:cs="Calibri"/>
          <w:sz w:val="20"/>
          <w:szCs w:val="20"/>
        </w:rPr>
        <w:t xml:space="preserve">Compared to younger </w:t>
      </w:r>
      <w:r w:rsidR="000E3958" w:rsidRPr="00B67E20">
        <w:rPr>
          <w:rFonts w:ascii="Calibri" w:hAnsi="Calibri" w:cs="Calibri"/>
          <w:sz w:val="20"/>
          <w:szCs w:val="20"/>
        </w:rPr>
        <w:t>adults</w:t>
      </w:r>
      <w:r w:rsidR="002576FE" w:rsidRPr="00B67E20">
        <w:rPr>
          <w:rFonts w:ascii="Calibri" w:hAnsi="Calibri" w:cs="Calibri"/>
          <w:sz w:val="20"/>
          <w:szCs w:val="20"/>
        </w:rPr>
        <w:t xml:space="preserve">, older age </w:t>
      </w:r>
      <w:r w:rsidR="00EC22FF">
        <w:rPr>
          <w:rFonts w:ascii="Calibri" w:hAnsi="Calibri" w:cs="Calibri"/>
          <w:sz w:val="20"/>
          <w:szCs w:val="20"/>
        </w:rPr>
        <w:t>wa</w:t>
      </w:r>
      <w:r w:rsidR="002576FE" w:rsidRPr="00B67E20">
        <w:rPr>
          <w:rFonts w:ascii="Calibri" w:hAnsi="Calibri" w:cs="Calibri"/>
          <w:sz w:val="20"/>
          <w:szCs w:val="20"/>
        </w:rPr>
        <w:t xml:space="preserve">s </w:t>
      </w:r>
      <w:r w:rsidR="002576FE" w:rsidRPr="00905603">
        <w:rPr>
          <w:rFonts w:ascii="Calibri" w:hAnsi="Calibri" w:cs="Calibri"/>
          <w:sz w:val="20"/>
          <w:szCs w:val="20"/>
        </w:rPr>
        <w:t>associated with significantly increased ROR of confusional state</w:t>
      </w:r>
      <w:r w:rsidR="00F27A4C" w:rsidRPr="00905603">
        <w:rPr>
          <w:rFonts w:ascii="Calibri" w:hAnsi="Calibri" w:cs="Calibri"/>
          <w:sz w:val="20"/>
          <w:szCs w:val="20"/>
        </w:rPr>
        <w:t xml:space="preserve"> (</w:t>
      </w:r>
      <w:r w:rsidR="00F27A4C" w:rsidRPr="00905603">
        <w:rPr>
          <w:rFonts w:ascii="Calibri" w:hAnsi="Calibri" w:cs="Calibri"/>
          <w:sz w:val="20"/>
          <w:szCs w:val="20"/>
          <w:lang w:val="en-GB"/>
        </w:rPr>
        <w:t>2.56</w:t>
      </w:r>
      <w:r w:rsidR="00254FC8">
        <w:rPr>
          <w:rFonts w:ascii="Calibri" w:hAnsi="Calibri" w:cs="Calibri"/>
          <w:sz w:val="20"/>
          <w:szCs w:val="20"/>
          <w:lang w:val="en-GB"/>
        </w:rPr>
        <w:t xml:space="preserve">, </w:t>
      </w:r>
      <w:r w:rsidR="00F27A4C" w:rsidRPr="00905603">
        <w:rPr>
          <w:rFonts w:ascii="Calibri" w:hAnsi="Calibri" w:cs="Calibri"/>
          <w:sz w:val="20"/>
          <w:szCs w:val="20"/>
          <w:lang w:val="en-GB"/>
        </w:rPr>
        <w:t>95% CI 2.47-2.66)</w:t>
      </w:r>
      <w:r w:rsidR="002576FE" w:rsidRPr="00905603">
        <w:rPr>
          <w:rFonts w:ascii="Calibri" w:hAnsi="Calibri" w:cs="Calibri"/>
          <w:sz w:val="20"/>
          <w:szCs w:val="20"/>
        </w:rPr>
        <w:t>, fall</w:t>
      </w:r>
      <w:r w:rsidR="00D124A3" w:rsidRPr="00905603">
        <w:rPr>
          <w:rFonts w:ascii="Calibri" w:hAnsi="Calibri" w:cs="Calibri"/>
          <w:sz w:val="20"/>
          <w:szCs w:val="20"/>
        </w:rPr>
        <w:t xml:space="preserve"> </w:t>
      </w:r>
      <w:r w:rsidR="00905603" w:rsidRPr="00905603">
        <w:rPr>
          <w:rFonts w:ascii="Calibri" w:hAnsi="Calibri" w:cs="Calibri"/>
          <w:sz w:val="20"/>
          <w:szCs w:val="20"/>
        </w:rPr>
        <w:t>(</w:t>
      </w:r>
      <w:r w:rsidR="00D124A3" w:rsidRPr="00905603">
        <w:rPr>
          <w:rFonts w:ascii="Calibri" w:hAnsi="Calibri" w:cs="Calibri"/>
          <w:sz w:val="20"/>
          <w:szCs w:val="20"/>
          <w:lang w:val="en-GB"/>
        </w:rPr>
        <w:t>5.10</w:t>
      </w:r>
      <w:r w:rsidR="00254FC8">
        <w:rPr>
          <w:rFonts w:ascii="Calibri" w:hAnsi="Calibri" w:cs="Calibri"/>
          <w:sz w:val="20"/>
          <w:szCs w:val="20"/>
          <w:lang w:val="en-GB"/>
        </w:rPr>
        <w:t xml:space="preserve">, </w:t>
      </w:r>
      <w:r w:rsidR="00D124A3" w:rsidRPr="00905603">
        <w:rPr>
          <w:rFonts w:ascii="Calibri" w:hAnsi="Calibri" w:cs="Calibri"/>
          <w:sz w:val="20"/>
          <w:szCs w:val="20"/>
          <w:lang w:val="en-GB"/>
        </w:rPr>
        <w:t>95% CI 4.90-5.31</w:t>
      </w:r>
      <w:r w:rsidR="00905603" w:rsidRPr="00905603">
        <w:rPr>
          <w:rFonts w:ascii="Calibri" w:hAnsi="Calibri" w:cs="Calibri"/>
          <w:sz w:val="20"/>
          <w:szCs w:val="20"/>
          <w:lang w:val="en-GB"/>
        </w:rPr>
        <w:t>)</w:t>
      </w:r>
      <w:r w:rsidR="002576FE" w:rsidRPr="00905603">
        <w:rPr>
          <w:rFonts w:ascii="Calibri" w:hAnsi="Calibri" w:cs="Calibri"/>
          <w:sz w:val="20"/>
          <w:szCs w:val="20"/>
        </w:rPr>
        <w:t xml:space="preserve">, </w:t>
      </w:r>
      <w:r w:rsidR="002576FE" w:rsidRPr="00DA367A">
        <w:rPr>
          <w:rFonts w:ascii="Calibri" w:hAnsi="Calibri" w:cs="Calibri"/>
          <w:sz w:val="20"/>
          <w:szCs w:val="20"/>
        </w:rPr>
        <w:t>hallucination</w:t>
      </w:r>
      <w:r w:rsidR="00CC3F0D" w:rsidRPr="00DA367A">
        <w:rPr>
          <w:rFonts w:ascii="Calibri" w:hAnsi="Calibri" w:cs="Calibri"/>
          <w:sz w:val="20"/>
          <w:szCs w:val="20"/>
        </w:rPr>
        <w:t xml:space="preserve"> (</w:t>
      </w:r>
      <w:r w:rsidR="00CC3F0D" w:rsidRPr="00DA367A">
        <w:rPr>
          <w:rFonts w:ascii="Calibri" w:hAnsi="Calibri" w:cs="Calibri"/>
          <w:sz w:val="20"/>
          <w:szCs w:val="20"/>
          <w:lang w:val="en-GB"/>
        </w:rPr>
        <w:t>4.29</w:t>
      </w:r>
      <w:r w:rsidR="00254FC8" w:rsidRPr="00DA367A">
        <w:rPr>
          <w:rFonts w:ascii="Calibri" w:hAnsi="Calibri" w:cs="Calibri"/>
          <w:sz w:val="20"/>
          <w:szCs w:val="20"/>
          <w:lang w:val="en-GB"/>
        </w:rPr>
        <w:t xml:space="preserve">, </w:t>
      </w:r>
      <w:r w:rsidR="00CC3F0D" w:rsidRPr="00DA367A">
        <w:rPr>
          <w:rFonts w:ascii="Calibri" w:hAnsi="Calibri" w:cs="Calibri"/>
          <w:sz w:val="20"/>
          <w:szCs w:val="20"/>
          <w:lang w:val="en-GB"/>
        </w:rPr>
        <w:t>95% CI 4.10-4.49)</w:t>
      </w:r>
      <w:r w:rsidR="002576FE" w:rsidRPr="00DA367A">
        <w:rPr>
          <w:rFonts w:ascii="Calibri" w:hAnsi="Calibri" w:cs="Calibri"/>
          <w:sz w:val="20"/>
          <w:szCs w:val="20"/>
        </w:rPr>
        <w:t>, pneumonia</w:t>
      </w:r>
      <w:r w:rsidR="00B67E20" w:rsidRPr="00DA367A">
        <w:rPr>
          <w:rFonts w:ascii="Calibri" w:hAnsi="Calibri" w:cs="Calibri"/>
          <w:sz w:val="20"/>
          <w:szCs w:val="20"/>
        </w:rPr>
        <w:t xml:space="preserve"> (</w:t>
      </w:r>
      <w:r w:rsidR="00B67E20" w:rsidRPr="00DA367A">
        <w:rPr>
          <w:rFonts w:ascii="Calibri" w:hAnsi="Calibri" w:cs="Calibri"/>
          <w:bCs/>
          <w:sz w:val="20"/>
          <w:szCs w:val="20"/>
          <w:lang w:val="en-GB"/>
        </w:rPr>
        <w:t>2.18</w:t>
      </w:r>
      <w:r w:rsidR="00254FC8" w:rsidRPr="00DA367A">
        <w:rPr>
          <w:rFonts w:ascii="Calibri" w:hAnsi="Calibri" w:cs="Calibri"/>
          <w:bCs/>
          <w:sz w:val="20"/>
          <w:szCs w:val="20"/>
          <w:lang w:val="en-GB"/>
        </w:rPr>
        <w:t xml:space="preserve">, </w:t>
      </w:r>
      <w:r w:rsidR="00B67E20" w:rsidRPr="00DA367A">
        <w:rPr>
          <w:rFonts w:ascii="Calibri" w:hAnsi="Calibri" w:cs="Calibri"/>
          <w:bCs/>
          <w:sz w:val="20"/>
          <w:szCs w:val="20"/>
          <w:lang w:val="en-GB"/>
        </w:rPr>
        <w:t>95% CI 2.08-2.28)</w:t>
      </w:r>
      <w:r w:rsidR="002576FE" w:rsidRPr="00DA367A">
        <w:rPr>
          <w:rFonts w:ascii="Calibri" w:hAnsi="Calibri" w:cs="Calibri"/>
          <w:sz w:val="20"/>
          <w:szCs w:val="20"/>
        </w:rPr>
        <w:t>, gait disturbance</w:t>
      </w:r>
      <w:r w:rsidR="002360AC" w:rsidRPr="00DA367A">
        <w:rPr>
          <w:rFonts w:ascii="Calibri" w:hAnsi="Calibri" w:cs="Calibri"/>
          <w:sz w:val="20"/>
          <w:szCs w:val="20"/>
        </w:rPr>
        <w:t xml:space="preserve"> </w:t>
      </w:r>
      <w:r w:rsidR="00905603" w:rsidRPr="00DA367A">
        <w:rPr>
          <w:rFonts w:ascii="Calibri" w:hAnsi="Calibri" w:cs="Calibri"/>
          <w:sz w:val="20"/>
          <w:szCs w:val="20"/>
        </w:rPr>
        <w:t>(</w:t>
      </w:r>
      <w:r w:rsidR="002360AC" w:rsidRPr="00DA367A">
        <w:rPr>
          <w:rFonts w:ascii="Calibri" w:hAnsi="Calibri" w:cs="Calibri"/>
          <w:bCs/>
          <w:sz w:val="20"/>
          <w:szCs w:val="20"/>
          <w:lang w:val="en-GB"/>
        </w:rPr>
        <w:t>2.78</w:t>
      </w:r>
      <w:r w:rsidR="00254FC8" w:rsidRPr="00DA367A">
        <w:rPr>
          <w:rFonts w:ascii="Calibri" w:hAnsi="Calibri" w:cs="Calibri"/>
          <w:bCs/>
          <w:sz w:val="20"/>
          <w:szCs w:val="20"/>
          <w:lang w:val="en-GB"/>
        </w:rPr>
        <w:t xml:space="preserve">, </w:t>
      </w:r>
      <w:r w:rsidR="002360AC" w:rsidRPr="00DA367A">
        <w:rPr>
          <w:rFonts w:ascii="Calibri" w:hAnsi="Calibri" w:cs="Calibri"/>
          <w:bCs/>
          <w:sz w:val="20"/>
          <w:szCs w:val="20"/>
          <w:lang w:val="en-GB"/>
        </w:rPr>
        <w:t>95% CI 2.63-2.94)</w:t>
      </w:r>
      <w:r w:rsidR="002576FE" w:rsidRPr="00DA367A">
        <w:rPr>
          <w:rFonts w:ascii="Calibri" w:hAnsi="Calibri" w:cs="Calibri"/>
          <w:sz w:val="20"/>
          <w:szCs w:val="20"/>
        </w:rPr>
        <w:t xml:space="preserve">, </w:t>
      </w:r>
      <w:r w:rsidR="00372C33">
        <w:rPr>
          <w:rFonts w:ascii="Calibri" w:hAnsi="Calibri" w:cs="Calibri"/>
          <w:sz w:val="20"/>
          <w:szCs w:val="20"/>
        </w:rPr>
        <w:t>dizziness (</w:t>
      </w:r>
      <w:r w:rsidR="00311C2A">
        <w:rPr>
          <w:rFonts w:ascii="Calibri" w:hAnsi="Calibri" w:cs="Calibri"/>
          <w:sz w:val="20"/>
          <w:szCs w:val="20"/>
        </w:rPr>
        <w:t xml:space="preserve">1.09, 95% CI 1.04-1.15), </w:t>
      </w:r>
      <w:r w:rsidR="00F430CD">
        <w:rPr>
          <w:rFonts w:ascii="Calibri" w:hAnsi="Calibri" w:cs="Calibri"/>
          <w:sz w:val="20"/>
          <w:szCs w:val="20"/>
        </w:rPr>
        <w:t>extrapy</w:t>
      </w:r>
      <w:r w:rsidR="00D3424A">
        <w:rPr>
          <w:rFonts w:ascii="Calibri" w:hAnsi="Calibri" w:cs="Calibri"/>
          <w:sz w:val="20"/>
          <w:szCs w:val="20"/>
        </w:rPr>
        <w:t xml:space="preserve">ramidal disorder (1.32, 95% CI 1.25-1.39), </w:t>
      </w:r>
      <w:r w:rsidR="002576FE" w:rsidRPr="00DA367A">
        <w:rPr>
          <w:rFonts w:ascii="Calibri" w:hAnsi="Calibri" w:cs="Calibri"/>
          <w:sz w:val="20"/>
          <w:szCs w:val="20"/>
        </w:rPr>
        <w:t>and death</w:t>
      </w:r>
      <w:r w:rsidR="0033476F" w:rsidRPr="00DA367A">
        <w:rPr>
          <w:rFonts w:ascii="Calibri" w:hAnsi="Calibri" w:cs="Calibri"/>
          <w:sz w:val="20"/>
          <w:szCs w:val="20"/>
        </w:rPr>
        <w:t xml:space="preserve"> (</w:t>
      </w:r>
      <w:r w:rsidR="0033476F" w:rsidRPr="00DA367A">
        <w:rPr>
          <w:rFonts w:ascii="Calibri" w:hAnsi="Calibri" w:cs="Calibri"/>
          <w:sz w:val="20"/>
          <w:szCs w:val="20"/>
          <w:lang w:val="en-GB"/>
        </w:rPr>
        <w:t>3.73</w:t>
      </w:r>
      <w:r w:rsidR="00254FC8" w:rsidRPr="00DA367A">
        <w:rPr>
          <w:rFonts w:ascii="Calibri" w:hAnsi="Calibri" w:cs="Calibri"/>
          <w:sz w:val="20"/>
          <w:szCs w:val="20"/>
          <w:lang w:val="en-GB"/>
        </w:rPr>
        <w:t xml:space="preserve">, </w:t>
      </w:r>
      <w:r w:rsidR="0033476F" w:rsidRPr="00DA367A">
        <w:rPr>
          <w:rFonts w:ascii="Calibri" w:hAnsi="Calibri" w:cs="Calibri"/>
          <w:sz w:val="20"/>
          <w:szCs w:val="20"/>
          <w:lang w:val="en-GB"/>
        </w:rPr>
        <w:t>95% CI 3.61-3.85)</w:t>
      </w:r>
      <w:r w:rsidR="002576FE" w:rsidRPr="00DA367A">
        <w:rPr>
          <w:rFonts w:ascii="Calibri" w:hAnsi="Calibri" w:cs="Calibri"/>
          <w:sz w:val="20"/>
          <w:szCs w:val="20"/>
        </w:rPr>
        <w:t xml:space="preserve">. </w:t>
      </w:r>
      <w:r w:rsidR="001449C2">
        <w:rPr>
          <w:rFonts w:ascii="Calibri" w:hAnsi="Calibri" w:cs="Calibri"/>
          <w:sz w:val="20"/>
          <w:szCs w:val="20"/>
          <w:lang w:val="en-GB"/>
        </w:rPr>
        <w:t xml:space="preserve">The proportion of </w:t>
      </w:r>
      <w:r w:rsidR="001449C2">
        <w:rPr>
          <w:rFonts w:ascii="Calibri" w:hAnsi="Calibri" w:cs="Calibri"/>
          <w:sz w:val="20"/>
          <w:szCs w:val="20"/>
        </w:rPr>
        <w:t>r</w:t>
      </w:r>
      <w:r w:rsidR="001449C2" w:rsidRPr="00DA367A">
        <w:rPr>
          <w:rFonts w:ascii="Calibri" w:hAnsi="Calibri" w:cs="Calibri"/>
          <w:sz w:val="20"/>
          <w:szCs w:val="20"/>
        </w:rPr>
        <w:t xml:space="preserve">eports </w:t>
      </w:r>
      <w:r w:rsidR="001449C2">
        <w:rPr>
          <w:rFonts w:ascii="Calibri" w:hAnsi="Calibri" w:cs="Calibri"/>
          <w:sz w:val="20"/>
          <w:szCs w:val="20"/>
        </w:rPr>
        <w:t>involving</w:t>
      </w:r>
      <w:r w:rsidR="001449C2" w:rsidRPr="00DA367A">
        <w:rPr>
          <w:rFonts w:ascii="Calibri" w:hAnsi="Calibri" w:cs="Calibri"/>
          <w:sz w:val="20"/>
          <w:szCs w:val="20"/>
        </w:rPr>
        <w:t xml:space="preserve"> both FGAs and SGAs rose</w:t>
      </w:r>
      <w:r w:rsidR="001449C2">
        <w:rPr>
          <w:rFonts w:ascii="Calibri" w:hAnsi="Calibri" w:cs="Calibri"/>
          <w:sz w:val="20"/>
          <w:szCs w:val="20"/>
        </w:rPr>
        <w:t xml:space="preserve"> ten-fold</w:t>
      </w:r>
      <w:r w:rsidR="001449C2" w:rsidRPr="00DA367A">
        <w:rPr>
          <w:rFonts w:ascii="Calibri" w:hAnsi="Calibri" w:cs="Calibri"/>
          <w:sz w:val="20"/>
          <w:szCs w:val="20"/>
        </w:rPr>
        <w:t xml:space="preserve"> </w:t>
      </w:r>
      <w:r w:rsidR="001449C2">
        <w:rPr>
          <w:rFonts w:ascii="Calibri" w:hAnsi="Calibri" w:cs="Calibri"/>
          <w:sz w:val="20"/>
          <w:szCs w:val="20"/>
        </w:rPr>
        <w:t xml:space="preserve">over the past three decades </w:t>
      </w:r>
      <w:r w:rsidR="001449C2" w:rsidRPr="00DA367A">
        <w:rPr>
          <w:rFonts w:ascii="Calibri" w:hAnsi="Calibri" w:cs="Calibri"/>
          <w:sz w:val="20"/>
          <w:szCs w:val="20"/>
        </w:rPr>
        <w:t>from 0.7</w:t>
      </w:r>
      <w:r w:rsidR="001449C2">
        <w:rPr>
          <w:rFonts w:ascii="Calibri" w:hAnsi="Calibri" w:cs="Calibri"/>
          <w:sz w:val="20"/>
          <w:szCs w:val="20"/>
        </w:rPr>
        <w:t>6</w:t>
      </w:r>
      <w:r w:rsidR="001449C2" w:rsidRPr="00DA367A">
        <w:rPr>
          <w:rFonts w:ascii="Calibri" w:hAnsi="Calibri" w:cs="Calibri"/>
          <w:sz w:val="20"/>
          <w:szCs w:val="20"/>
        </w:rPr>
        <w:t>% (</w:t>
      </w:r>
      <w:r w:rsidR="001449C2">
        <w:rPr>
          <w:rFonts w:ascii="Calibri" w:hAnsi="Calibri" w:cs="Calibri"/>
          <w:sz w:val="20"/>
          <w:szCs w:val="20"/>
        </w:rPr>
        <w:t xml:space="preserve">n = 115 reports in </w:t>
      </w:r>
      <w:r w:rsidR="001449C2" w:rsidRPr="00DA367A">
        <w:rPr>
          <w:rFonts w:ascii="Calibri" w:hAnsi="Calibri" w:cs="Calibri"/>
          <w:sz w:val="20"/>
          <w:szCs w:val="20"/>
        </w:rPr>
        <w:t>1990-1994) to 7.34% (</w:t>
      </w:r>
      <w:r w:rsidR="001449C2">
        <w:rPr>
          <w:rFonts w:ascii="Calibri" w:hAnsi="Calibri" w:cs="Calibri"/>
          <w:sz w:val="20"/>
          <w:szCs w:val="20"/>
        </w:rPr>
        <w:t xml:space="preserve">n = 7560 reports in </w:t>
      </w:r>
      <w:r w:rsidR="001449C2" w:rsidRPr="00DA367A">
        <w:rPr>
          <w:rFonts w:ascii="Calibri" w:hAnsi="Calibri" w:cs="Calibri"/>
          <w:sz w:val="20"/>
          <w:szCs w:val="20"/>
        </w:rPr>
        <w:t>2020-24)</w:t>
      </w:r>
      <w:r w:rsidR="001449C2">
        <w:rPr>
          <w:rFonts w:ascii="Calibri" w:hAnsi="Calibri" w:cs="Calibri"/>
          <w:sz w:val="20"/>
          <w:szCs w:val="20"/>
        </w:rPr>
        <w:t>.</w:t>
      </w:r>
    </w:p>
    <w:p w14:paraId="67A8713A" w14:textId="36D7290B" w:rsidR="00187F76" w:rsidRDefault="00711813" w:rsidP="0095136B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DA367A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DA367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A6F17">
        <w:rPr>
          <w:rFonts w:ascii="Calibri" w:hAnsi="Calibri" w:cs="Calibri"/>
          <w:sz w:val="20"/>
          <w:szCs w:val="20"/>
          <w:lang w:val="en-AU"/>
        </w:rPr>
        <w:t>Feature</w:t>
      </w:r>
      <w:r w:rsidR="008C710E">
        <w:rPr>
          <w:rFonts w:ascii="Calibri" w:hAnsi="Calibri" w:cs="Calibri"/>
          <w:sz w:val="20"/>
          <w:szCs w:val="20"/>
          <w:lang w:val="en-AU"/>
        </w:rPr>
        <w:t>s of g</w:t>
      </w:r>
      <w:r w:rsidR="00670A85">
        <w:rPr>
          <w:rFonts w:ascii="Calibri" w:hAnsi="Calibri" w:cs="Calibri"/>
          <w:sz w:val="20"/>
          <w:szCs w:val="20"/>
          <w:lang w:val="en-AU"/>
        </w:rPr>
        <w:t>eriatric syndromes such as confusional state</w:t>
      </w:r>
      <w:r w:rsidR="003A4731">
        <w:rPr>
          <w:rFonts w:ascii="Calibri" w:hAnsi="Calibri" w:cs="Calibri"/>
          <w:sz w:val="20"/>
          <w:szCs w:val="20"/>
          <w:lang w:val="en-AU"/>
        </w:rPr>
        <w:t xml:space="preserve">, fall, hallucination, </w:t>
      </w:r>
      <w:r w:rsidR="009D50F9">
        <w:rPr>
          <w:rFonts w:ascii="Calibri" w:hAnsi="Calibri" w:cs="Calibri"/>
          <w:sz w:val="20"/>
          <w:szCs w:val="20"/>
          <w:lang w:val="en-AU"/>
        </w:rPr>
        <w:t>gait disturbance</w:t>
      </w:r>
      <w:r w:rsidR="009D50F9">
        <w:rPr>
          <w:rFonts w:ascii="Calibri" w:hAnsi="Calibri" w:cs="Calibri"/>
          <w:sz w:val="20"/>
          <w:szCs w:val="20"/>
          <w:lang w:val="en-AU"/>
        </w:rPr>
        <w:t>, and</w:t>
      </w:r>
      <w:r w:rsidR="009D50F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54B51">
        <w:rPr>
          <w:rFonts w:ascii="Calibri" w:hAnsi="Calibri" w:cs="Calibri"/>
          <w:sz w:val="20"/>
          <w:szCs w:val="20"/>
          <w:lang w:val="en-AU"/>
        </w:rPr>
        <w:t>dizziness</w:t>
      </w:r>
      <w:r w:rsidR="009D50F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70A85">
        <w:rPr>
          <w:rFonts w:ascii="Calibri" w:hAnsi="Calibri" w:cs="Calibri"/>
          <w:sz w:val="20"/>
          <w:szCs w:val="20"/>
          <w:lang w:val="en-AU"/>
        </w:rPr>
        <w:t xml:space="preserve">are disproportionately reported in </w:t>
      </w:r>
      <w:r w:rsidR="00883189">
        <w:rPr>
          <w:rFonts w:ascii="Calibri" w:hAnsi="Calibri" w:cs="Calibri"/>
          <w:sz w:val="20"/>
          <w:szCs w:val="20"/>
          <w:lang w:val="en-AU"/>
        </w:rPr>
        <w:t>antipsychotic-related ADE</w:t>
      </w:r>
      <w:r w:rsidR="00883189">
        <w:rPr>
          <w:rFonts w:ascii="Calibri" w:hAnsi="Calibri" w:cs="Calibri"/>
          <w:sz w:val="20"/>
          <w:szCs w:val="20"/>
          <w:lang w:val="en-AU"/>
        </w:rPr>
        <w:t xml:space="preserve"> reports for </w:t>
      </w:r>
      <w:r w:rsidR="00670A85">
        <w:rPr>
          <w:rFonts w:ascii="Calibri" w:hAnsi="Calibri" w:cs="Calibri"/>
          <w:sz w:val="20"/>
          <w:szCs w:val="20"/>
          <w:lang w:val="en-AU"/>
        </w:rPr>
        <w:t>older</w:t>
      </w:r>
      <w:r w:rsidR="003A4731">
        <w:rPr>
          <w:rFonts w:ascii="Calibri" w:hAnsi="Calibri" w:cs="Calibri"/>
          <w:sz w:val="20"/>
          <w:szCs w:val="20"/>
          <w:lang w:val="en-AU"/>
        </w:rPr>
        <w:t xml:space="preserve"> people</w:t>
      </w:r>
      <w:r w:rsidR="00670A85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795C21" w:rsidRPr="00DA367A">
        <w:rPr>
          <w:rFonts w:ascii="Calibri" w:hAnsi="Calibri" w:cs="Calibri"/>
          <w:sz w:val="20"/>
          <w:szCs w:val="20"/>
          <w:lang w:val="en-AU"/>
        </w:rPr>
        <w:t xml:space="preserve">These findings highlight the need for </w:t>
      </w:r>
      <w:r w:rsidR="00795C21" w:rsidRPr="00DA367A">
        <w:rPr>
          <w:rFonts w:ascii="Calibri" w:hAnsi="Calibri" w:cs="Calibri"/>
          <w:sz w:val="20"/>
          <w:szCs w:val="20"/>
          <w:lang w:val="en-GB" w:eastAsia="en-GB"/>
        </w:rPr>
        <w:t xml:space="preserve">ongoing, routine, proactive monitoring of signs and symptoms of </w:t>
      </w:r>
      <w:r w:rsidR="00602D54">
        <w:rPr>
          <w:rFonts w:ascii="Calibri" w:hAnsi="Calibri" w:cs="Calibri"/>
          <w:sz w:val="20"/>
          <w:szCs w:val="20"/>
          <w:lang w:val="en-GB" w:eastAsia="en-GB"/>
        </w:rPr>
        <w:t xml:space="preserve">potential </w:t>
      </w:r>
      <w:r w:rsidR="00795C21" w:rsidRPr="00DA367A">
        <w:rPr>
          <w:rFonts w:ascii="Calibri" w:hAnsi="Calibri" w:cs="Calibri"/>
          <w:sz w:val="20"/>
          <w:szCs w:val="20"/>
          <w:lang w:val="en-GB" w:eastAsia="en-GB"/>
        </w:rPr>
        <w:t>antipsychotic</w:t>
      </w:r>
      <w:r w:rsidR="00602D54">
        <w:rPr>
          <w:rFonts w:ascii="Calibri" w:hAnsi="Calibri" w:cs="Calibri"/>
          <w:sz w:val="20"/>
          <w:szCs w:val="20"/>
          <w:lang w:val="en-GB" w:eastAsia="en-GB"/>
        </w:rPr>
        <w:t xml:space="preserve"> ADE</w:t>
      </w:r>
      <w:r w:rsidR="00795C21" w:rsidRPr="00DA367A">
        <w:rPr>
          <w:rFonts w:ascii="Calibri" w:hAnsi="Calibri" w:cs="Calibri"/>
          <w:sz w:val="20"/>
          <w:szCs w:val="20"/>
          <w:lang w:val="en-GB" w:eastAsia="en-GB"/>
        </w:rPr>
        <w:t>s in older people to support early identification</w:t>
      </w:r>
      <w:r w:rsidR="00795C21" w:rsidRPr="000B7E0E">
        <w:rPr>
          <w:rFonts w:ascii="Calibri" w:hAnsi="Calibri" w:cs="Calibri"/>
          <w:sz w:val="20"/>
          <w:szCs w:val="20"/>
          <w:lang w:val="en-GB" w:eastAsia="en-GB"/>
        </w:rPr>
        <w:t xml:space="preserve"> </w:t>
      </w:r>
      <w:r w:rsidR="00795C21">
        <w:rPr>
          <w:rFonts w:ascii="Calibri" w:hAnsi="Calibri" w:cs="Calibri"/>
          <w:sz w:val="20"/>
          <w:szCs w:val="20"/>
          <w:lang w:val="en-GB" w:eastAsia="en-GB"/>
        </w:rPr>
        <w:t>and avoid further harm.</w:t>
      </w:r>
      <w:r w:rsidR="00D60D00">
        <w:rPr>
          <w:rFonts w:ascii="Calibri" w:hAnsi="Calibri" w:cs="Calibri"/>
          <w:sz w:val="20"/>
          <w:szCs w:val="20"/>
          <w:lang w:val="en-GB" w:eastAsia="en-GB"/>
        </w:rPr>
        <w:t xml:space="preserve"> </w:t>
      </w:r>
    </w:p>
    <w:p w14:paraId="003782CB" w14:textId="77777777" w:rsidR="00187F76" w:rsidRDefault="00187F76" w:rsidP="0095136B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7CB5C8F8" w14:textId="07694FB7" w:rsidR="00187F76" w:rsidRPr="004E5450" w:rsidRDefault="00187F76" w:rsidP="0095136B">
      <w:pPr>
        <w:jc w:val="both"/>
        <w:rPr>
          <w:rFonts w:ascii="Calibri" w:hAnsi="Calibri" w:cs="Calibri"/>
          <w:sz w:val="20"/>
          <w:szCs w:val="20"/>
          <w:lang w:val="en-AU"/>
        </w:rPr>
      </w:pPr>
    </w:p>
    <w:sectPr w:rsidR="00187F76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008C7"/>
    <w:rsid w:val="00002955"/>
    <w:rsid w:val="00002EB9"/>
    <w:rsid w:val="00015E22"/>
    <w:rsid w:val="00064E83"/>
    <w:rsid w:val="000A4FA6"/>
    <w:rsid w:val="000B7E0E"/>
    <w:rsid w:val="000E3958"/>
    <w:rsid w:val="000F62FE"/>
    <w:rsid w:val="00125142"/>
    <w:rsid w:val="001438B0"/>
    <w:rsid w:val="001449C2"/>
    <w:rsid w:val="00144B8C"/>
    <w:rsid w:val="00163E15"/>
    <w:rsid w:val="00187F76"/>
    <w:rsid w:val="001E6FF8"/>
    <w:rsid w:val="001F6816"/>
    <w:rsid w:val="00205FB5"/>
    <w:rsid w:val="002226BB"/>
    <w:rsid w:val="002272B0"/>
    <w:rsid w:val="002360AC"/>
    <w:rsid w:val="00254FC8"/>
    <w:rsid w:val="002576FE"/>
    <w:rsid w:val="002D64E7"/>
    <w:rsid w:val="00300B92"/>
    <w:rsid w:val="00311C2A"/>
    <w:rsid w:val="003238D9"/>
    <w:rsid w:val="0033476F"/>
    <w:rsid w:val="00336F69"/>
    <w:rsid w:val="00355DCB"/>
    <w:rsid w:val="00367C15"/>
    <w:rsid w:val="00372C33"/>
    <w:rsid w:val="00387491"/>
    <w:rsid w:val="003A4731"/>
    <w:rsid w:val="003D0CBE"/>
    <w:rsid w:val="00444224"/>
    <w:rsid w:val="00460481"/>
    <w:rsid w:val="00461414"/>
    <w:rsid w:val="00471C28"/>
    <w:rsid w:val="00483B05"/>
    <w:rsid w:val="004B5A9E"/>
    <w:rsid w:val="004E28B9"/>
    <w:rsid w:val="004E50FC"/>
    <w:rsid w:val="004E5450"/>
    <w:rsid w:val="00533EF0"/>
    <w:rsid w:val="005936B9"/>
    <w:rsid w:val="0059609A"/>
    <w:rsid w:val="00597659"/>
    <w:rsid w:val="005A6F17"/>
    <w:rsid w:val="005B4D04"/>
    <w:rsid w:val="005C0BD0"/>
    <w:rsid w:val="005D1700"/>
    <w:rsid w:val="005E48A2"/>
    <w:rsid w:val="005E62BE"/>
    <w:rsid w:val="00602D54"/>
    <w:rsid w:val="00621CF9"/>
    <w:rsid w:val="0062588A"/>
    <w:rsid w:val="00665C43"/>
    <w:rsid w:val="00666075"/>
    <w:rsid w:val="00670A85"/>
    <w:rsid w:val="00671A68"/>
    <w:rsid w:val="006D1628"/>
    <w:rsid w:val="006F1FDF"/>
    <w:rsid w:val="007102BE"/>
    <w:rsid w:val="00711813"/>
    <w:rsid w:val="00724E3C"/>
    <w:rsid w:val="00743C46"/>
    <w:rsid w:val="00754B51"/>
    <w:rsid w:val="00760B17"/>
    <w:rsid w:val="00767F66"/>
    <w:rsid w:val="00774E66"/>
    <w:rsid w:val="00793D00"/>
    <w:rsid w:val="00795C21"/>
    <w:rsid w:val="0082275F"/>
    <w:rsid w:val="00837BA8"/>
    <w:rsid w:val="008413AE"/>
    <w:rsid w:val="00883189"/>
    <w:rsid w:val="00885303"/>
    <w:rsid w:val="008909C9"/>
    <w:rsid w:val="00892AE9"/>
    <w:rsid w:val="008C710E"/>
    <w:rsid w:val="008F0C54"/>
    <w:rsid w:val="008F6092"/>
    <w:rsid w:val="00905603"/>
    <w:rsid w:val="0092039F"/>
    <w:rsid w:val="00925DB6"/>
    <w:rsid w:val="00947B77"/>
    <w:rsid w:val="00947E58"/>
    <w:rsid w:val="0095136B"/>
    <w:rsid w:val="00956E8B"/>
    <w:rsid w:val="009959F3"/>
    <w:rsid w:val="009A23B4"/>
    <w:rsid w:val="009B6666"/>
    <w:rsid w:val="009D50F9"/>
    <w:rsid w:val="009E2228"/>
    <w:rsid w:val="009F06D6"/>
    <w:rsid w:val="00A266B4"/>
    <w:rsid w:val="00A50833"/>
    <w:rsid w:val="00A71DEF"/>
    <w:rsid w:val="00A93214"/>
    <w:rsid w:val="00AA701C"/>
    <w:rsid w:val="00AA7320"/>
    <w:rsid w:val="00AB719A"/>
    <w:rsid w:val="00AC4CCF"/>
    <w:rsid w:val="00AE233D"/>
    <w:rsid w:val="00AE2DA6"/>
    <w:rsid w:val="00AE3C5B"/>
    <w:rsid w:val="00B11BFB"/>
    <w:rsid w:val="00B30BC2"/>
    <w:rsid w:val="00B67E20"/>
    <w:rsid w:val="00B72BE1"/>
    <w:rsid w:val="00BB3190"/>
    <w:rsid w:val="00BC3723"/>
    <w:rsid w:val="00BC5FCC"/>
    <w:rsid w:val="00C07903"/>
    <w:rsid w:val="00C11968"/>
    <w:rsid w:val="00C132EC"/>
    <w:rsid w:val="00C60A71"/>
    <w:rsid w:val="00C9218E"/>
    <w:rsid w:val="00C97D65"/>
    <w:rsid w:val="00CA2875"/>
    <w:rsid w:val="00CC3F0D"/>
    <w:rsid w:val="00CD7EB3"/>
    <w:rsid w:val="00D124A3"/>
    <w:rsid w:val="00D3424A"/>
    <w:rsid w:val="00D55F3B"/>
    <w:rsid w:val="00D60D00"/>
    <w:rsid w:val="00D91F6B"/>
    <w:rsid w:val="00D95BF9"/>
    <w:rsid w:val="00DA2731"/>
    <w:rsid w:val="00DA367A"/>
    <w:rsid w:val="00DC140C"/>
    <w:rsid w:val="00DD3B0E"/>
    <w:rsid w:val="00E258A3"/>
    <w:rsid w:val="00E26410"/>
    <w:rsid w:val="00E27F8C"/>
    <w:rsid w:val="00EC22FF"/>
    <w:rsid w:val="00EE7FC8"/>
    <w:rsid w:val="00EF12F3"/>
    <w:rsid w:val="00EF1D81"/>
    <w:rsid w:val="00F00B84"/>
    <w:rsid w:val="00F02477"/>
    <w:rsid w:val="00F27A4C"/>
    <w:rsid w:val="00F3068B"/>
    <w:rsid w:val="00F37A6E"/>
    <w:rsid w:val="00F430CD"/>
    <w:rsid w:val="00F7032E"/>
    <w:rsid w:val="00F753D3"/>
    <w:rsid w:val="00F90F73"/>
    <w:rsid w:val="00F97620"/>
    <w:rsid w:val="00FD35D0"/>
    <w:rsid w:val="00FF77D8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408C74"/>
  <w15:chartTrackingRefBased/>
  <w15:docId w15:val="{1168C57E-2D72-9543-86C9-4AD951E1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D95B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F9"/>
    <w:pPr>
      <w:spacing w:after="160"/>
    </w:pPr>
    <w:rPr>
      <w:rFonts w:ascii="Aptos" w:hAnsi="Aptos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F9"/>
    <w:rPr>
      <w:rFonts w:ascii="Aptos" w:hAnsi="Aptos"/>
      <w:lang w:val="en-US" w:eastAsia="ja-JP"/>
    </w:rPr>
  </w:style>
  <w:style w:type="paragraph" w:styleId="Revision">
    <w:name w:val="Revision"/>
    <w:hidden/>
    <w:uiPriority w:val="99"/>
    <w:semiHidden/>
    <w:rsid w:val="00EC22FF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2FF"/>
    <w:pPr>
      <w:spacing w:after="0"/>
    </w:pPr>
    <w:rPr>
      <w:rFonts w:ascii="Times New Roman" w:hAnsi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2FF"/>
    <w:rPr>
      <w:rFonts w:ascii="Aptos" w:hAnsi="Aptos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2337</CharactersWithSpaces>
  <SharedDoc>false</SharedDoc>
  <HLinks>
    <vt:vector size="12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Adam Gascoigne</cp:lastModifiedBy>
  <cp:revision>67</cp:revision>
  <cp:lastPrinted>2013-06-12T12:15:00Z</cp:lastPrinted>
  <dcterms:created xsi:type="dcterms:W3CDTF">2025-09-10T02:47:00Z</dcterms:created>
  <dcterms:modified xsi:type="dcterms:W3CDTF">2025-09-12T00:52:00Z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