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C4CC" w14:textId="424F25C2" w:rsidR="00711813" w:rsidRPr="004E5450" w:rsidRDefault="006E616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6E616A">
        <w:rPr>
          <w:rFonts w:ascii="Calibri" w:hAnsi="Calibri" w:cs="Calibri"/>
          <w:b/>
          <w:sz w:val="20"/>
          <w:szCs w:val="20"/>
          <w:lang w:val="en-AU"/>
        </w:rPr>
        <w:t>Efficacy and safety of apremilast versus methotrexate in oral lichen planus</w:t>
      </w:r>
    </w:p>
    <w:p w14:paraId="6D268534" w14:textId="170CA1FF" w:rsidR="002F381C" w:rsidRDefault="00942BDD" w:rsidP="00C30C82">
      <w:pPr>
        <w:jc w:val="both"/>
        <w:rPr>
          <w:i/>
          <w:sz w:val="20"/>
          <w:szCs w:val="20"/>
        </w:rPr>
      </w:pPr>
      <w:r w:rsidRPr="00942BDD">
        <w:rPr>
          <w:rFonts w:ascii="Calibri" w:hAnsi="Calibri" w:cs="Calibri"/>
          <w:sz w:val="20"/>
          <w:szCs w:val="20"/>
          <w:lang w:val="en-AU"/>
        </w:rPr>
        <w:t>Mowdharani PS</w:t>
      </w:r>
      <w:r w:rsidR="00BF7F45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942BDD">
        <w:rPr>
          <w:rFonts w:ascii="Calibri" w:hAnsi="Calibri" w:cs="Calibri"/>
          <w:sz w:val="20"/>
          <w:szCs w:val="20"/>
          <w:lang w:val="en-AU"/>
        </w:rPr>
        <w:t>, Monalisa Jena</w:t>
      </w:r>
      <w:r w:rsidR="00BF7F45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942BDD">
        <w:rPr>
          <w:rFonts w:ascii="Calibri" w:hAnsi="Calibri" w:cs="Calibri"/>
          <w:sz w:val="20"/>
          <w:szCs w:val="20"/>
          <w:lang w:val="en-AU"/>
        </w:rPr>
        <w:t>, Biswanath Behera</w:t>
      </w:r>
      <w:r w:rsidR="00BF7F45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942BDD">
        <w:rPr>
          <w:rFonts w:ascii="Calibri" w:hAnsi="Calibri" w:cs="Calibri"/>
          <w:sz w:val="20"/>
          <w:szCs w:val="20"/>
          <w:lang w:val="en-AU"/>
        </w:rPr>
        <w:t>, Ajaya K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942BDD">
        <w:rPr>
          <w:rFonts w:ascii="Calibri" w:hAnsi="Calibri" w:cs="Calibri"/>
          <w:sz w:val="20"/>
          <w:szCs w:val="20"/>
          <w:lang w:val="en-AU"/>
        </w:rPr>
        <w:t xml:space="preserve"> Sahoo</w:t>
      </w:r>
      <w:r w:rsidR="00BF7F45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942BDD">
        <w:rPr>
          <w:rFonts w:ascii="Calibri" w:hAnsi="Calibri" w:cs="Calibri"/>
          <w:sz w:val="20"/>
          <w:szCs w:val="20"/>
          <w:lang w:val="en-AU"/>
        </w:rPr>
        <w:t>Madhusmita Sethy</w:t>
      </w:r>
      <w:r w:rsidR="00BF7F45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711813" w:rsidRPr="00942BD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F381C">
        <w:rPr>
          <w:rFonts w:ascii="Calibri" w:hAnsi="Calibri" w:cs="Calibri"/>
          <w:sz w:val="20"/>
          <w:szCs w:val="20"/>
          <w:lang w:val="en-AU"/>
        </w:rPr>
        <w:t xml:space="preserve">Dept of </w:t>
      </w:r>
      <w:r>
        <w:rPr>
          <w:rFonts w:ascii="Calibri" w:hAnsi="Calibri" w:cs="Calibri"/>
          <w:sz w:val="20"/>
          <w:szCs w:val="20"/>
          <w:lang w:val="en-AU"/>
        </w:rPr>
        <w:t>Pharmacol</w:t>
      </w:r>
      <w:r w:rsidR="00BF7F45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BF7F4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F381C">
        <w:rPr>
          <w:rFonts w:ascii="Calibri" w:hAnsi="Calibri" w:cs="Calibri"/>
          <w:sz w:val="20"/>
          <w:szCs w:val="20"/>
          <w:lang w:val="en-AU"/>
        </w:rPr>
        <w:t>A</w:t>
      </w:r>
      <w:r w:rsidR="006E616A">
        <w:rPr>
          <w:rFonts w:ascii="Calibri" w:hAnsi="Calibri" w:cs="Calibri"/>
          <w:sz w:val="20"/>
          <w:szCs w:val="20"/>
          <w:lang w:val="en-AU"/>
        </w:rPr>
        <w:t>ll India Inst of Med Sciences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F7F45">
        <w:rPr>
          <w:rFonts w:ascii="Calibri" w:hAnsi="Calibri" w:cs="Calibri"/>
          <w:sz w:val="20"/>
          <w:szCs w:val="20"/>
          <w:lang w:val="en-AU"/>
        </w:rPr>
        <w:t>Bhubaneswar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F7F45">
        <w:rPr>
          <w:rFonts w:ascii="Calibri" w:hAnsi="Calibri" w:cs="Calibri"/>
          <w:sz w:val="20"/>
          <w:szCs w:val="20"/>
          <w:lang w:val="en-AU"/>
        </w:rPr>
        <w:t>OD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F7F45">
        <w:rPr>
          <w:rFonts w:ascii="Calibri" w:hAnsi="Calibri" w:cs="Calibri"/>
          <w:sz w:val="20"/>
          <w:szCs w:val="20"/>
          <w:lang w:val="en-AU"/>
        </w:rPr>
        <w:t>India.</w:t>
      </w:r>
      <w:r w:rsidR="00C30C82" w:rsidRPr="00C30C8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F381C">
        <w:rPr>
          <w:rFonts w:ascii="Calibri" w:hAnsi="Calibri" w:cs="Calibri"/>
          <w:sz w:val="20"/>
          <w:szCs w:val="20"/>
          <w:lang w:val="en-AU"/>
        </w:rPr>
        <w:t xml:space="preserve">Dept of </w:t>
      </w:r>
      <w:r w:rsidR="00C30C82">
        <w:rPr>
          <w:rFonts w:ascii="Calibri" w:hAnsi="Calibri" w:cs="Calibri"/>
          <w:sz w:val="20"/>
          <w:szCs w:val="20"/>
          <w:lang w:val="en-AU"/>
        </w:rPr>
        <w:t>Dermat</w:t>
      </w:r>
      <w:r w:rsidR="00C30C82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C30C8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D5B87">
        <w:rPr>
          <w:rFonts w:ascii="Calibri" w:hAnsi="Calibri" w:cs="Calibri"/>
          <w:sz w:val="20"/>
          <w:szCs w:val="20"/>
          <w:lang w:val="en-AU"/>
        </w:rPr>
        <w:t>All India Inst of Med Sciences</w:t>
      </w:r>
      <w:r w:rsidR="00C30C82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30C82">
        <w:rPr>
          <w:rFonts w:ascii="Calibri" w:hAnsi="Calibri" w:cs="Calibri"/>
          <w:sz w:val="20"/>
          <w:szCs w:val="20"/>
          <w:lang w:val="en-AU"/>
        </w:rPr>
        <w:t>Bhubaneswar</w:t>
      </w:r>
      <w:r w:rsidR="00C30C82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30C82">
        <w:rPr>
          <w:rFonts w:ascii="Calibri" w:hAnsi="Calibri" w:cs="Calibri"/>
          <w:sz w:val="20"/>
          <w:szCs w:val="20"/>
          <w:lang w:val="en-AU"/>
        </w:rPr>
        <w:t>OD</w:t>
      </w:r>
      <w:r w:rsidR="00C30C82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30C82">
        <w:rPr>
          <w:rFonts w:ascii="Calibri" w:hAnsi="Calibri" w:cs="Calibri"/>
          <w:sz w:val="20"/>
          <w:szCs w:val="20"/>
          <w:lang w:val="en-AU"/>
        </w:rPr>
        <w:t>India.</w:t>
      </w:r>
      <w:r w:rsidR="002F381C">
        <w:rPr>
          <w:rFonts w:ascii="Calibri" w:hAnsi="Calibri" w:cs="Calibri"/>
          <w:sz w:val="20"/>
          <w:szCs w:val="20"/>
          <w:lang w:val="en-AU"/>
        </w:rPr>
        <w:t xml:space="preserve"> Dept of </w:t>
      </w:r>
      <w:r w:rsidR="002F381C" w:rsidRPr="00C30C82">
        <w:rPr>
          <w:rFonts w:ascii="Calibri" w:hAnsi="Calibri" w:cs="Calibri"/>
          <w:sz w:val="20"/>
          <w:szCs w:val="20"/>
          <w:lang w:val="en-AU"/>
        </w:rPr>
        <w:t>Path</w:t>
      </w:r>
      <w:r w:rsidR="00C30C82" w:rsidRPr="00BF7F4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C30C8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E616A">
        <w:rPr>
          <w:rFonts w:ascii="Calibri" w:hAnsi="Calibri" w:cs="Calibri"/>
          <w:sz w:val="20"/>
          <w:szCs w:val="20"/>
          <w:lang w:val="en-AU"/>
        </w:rPr>
        <w:t>All India Inst of Med Sciences</w:t>
      </w:r>
      <w:r w:rsidR="00C30C82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30C82">
        <w:rPr>
          <w:rFonts w:ascii="Calibri" w:hAnsi="Calibri" w:cs="Calibri"/>
          <w:sz w:val="20"/>
          <w:szCs w:val="20"/>
          <w:lang w:val="en-AU"/>
        </w:rPr>
        <w:t>Bhubaneswar</w:t>
      </w:r>
      <w:r w:rsidR="00C30C82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30C82">
        <w:rPr>
          <w:rFonts w:ascii="Calibri" w:hAnsi="Calibri" w:cs="Calibri"/>
          <w:sz w:val="20"/>
          <w:szCs w:val="20"/>
          <w:lang w:val="en-AU"/>
        </w:rPr>
        <w:t>OD</w:t>
      </w:r>
      <w:r w:rsidR="00C30C82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30C82">
        <w:rPr>
          <w:rFonts w:ascii="Calibri" w:hAnsi="Calibri" w:cs="Calibri"/>
          <w:sz w:val="20"/>
          <w:szCs w:val="20"/>
          <w:lang w:val="en-AU"/>
        </w:rPr>
        <w:t>India.</w:t>
      </w:r>
      <w:r w:rsidR="00711813" w:rsidRPr="004E5450">
        <w:rPr>
          <w:i/>
          <w:sz w:val="20"/>
          <w:szCs w:val="20"/>
        </w:rPr>
        <w:t xml:space="preserve"> </w:t>
      </w:r>
    </w:p>
    <w:p w14:paraId="67089CDD" w14:textId="77777777" w:rsidR="001662F1" w:rsidRPr="004E5450" w:rsidRDefault="001662F1" w:rsidP="00C30C82">
      <w:pPr>
        <w:jc w:val="both"/>
        <w:rPr>
          <w:sz w:val="20"/>
          <w:szCs w:val="20"/>
          <w:lang w:val="en-AU"/>
        </w:rPr>
      </w:pPr>
    </w:p>
    <w:p w14:paraId="394DB846" w14:textId="19F7C073" w:rsidR="00893BBF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6E268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E268A" w:rsidRPr="006E268A">
        <w:rPr>
          <w:rFonts w:ascii="Calibri" w:hAnsi="Calibri" w:cs="Calibri"/>
          <w:sz w:val="20"/>
          <w:szCs w:val="20"/>
        </w:rPr>
        <w:t xml:space="preserve">Oral lichen planus (OLP) is a chronic immune-mediated </w:t>
      </w:r>
      <w:r w:rsidR="00281D92">
        <w:rPr>
          <w:rFonts w:ascii="Calibri" w:hAnsi="Calibri" w:cs="Calibri"/>
          <w:sz w:val="20"/>
          <w:szCs w:val="20"/>
        </w:rPr>
        <w:t xml:space="preserve">inflammatory </w:t>
      </w:r>
      <w:r w:rsidR="006E268A" w:rsidRPr="006E268A">
        <w:rPr>
          <w:rFonts w:ascii="Calibri" w:hAnsi="Calibri" w:cs="Calibri"/>
          <w:sz w:val="20"/>
          <w:szCs w:val="20"/>
        </w:rPr>
        <w:t xml:space="preserve">disorder of the oral mucosa that significantly impairs quality of life. Although systemic corticosteroids remain the mainstay of treatment, their long-term use is limited by adverse effects and frequent relapses, </w:t>
      </w:r>
      <w:r w:rsidR="00281D92" w:rsidRPr="00893BBF">
        <w:rPr>
          <w:rFonts w:ascii="Calibri" w:hAnsi="Calibri" w:cs="Calibri"/>
          <w:sz w:val="20"/>
          <w:szCs w:val="20"/>
        </w:rPr>
        <w:t>necessitating</w:t>
      </w:r>
      <w:r w:rsidR="006E268A" w:rsidRPr="006E268A">
        <w:rPr>
          <w:rFonts w:ascii="Calibri" w:hAnsi="Calibri" w:cs="Calibri"/>
          <w:sz w:val="20"/>
          <w:szCs w:val="20"/>
        </w:rPr>
        <w:t xml:space="preserve"> effective steroid-sparing therapies. Both methotrexate and apremilast have demonstrated benefit in OLP; however, head-to-head comparative data are scarce. This study compares their efficacy and safety when used as add-on therapy to oral prednisolone.</w:t>
      </w:r>
    </w:p>
    <w:p w14:paraId="05B39063" w14:textId="006A3B4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74E38" w:rsidRPr="00774E38">
        <w:rPr>
          <w:rFonts w:ascii="Calibri" w:hAnsi="Calibri" w:cs="Calibri"/>
          <w:sz w:val="20"/>
          <w:szCs w:val="20"/>
          <w:lang w:val="en-AU"/>
        </w:rPr>
        <w:t>To evaluate the efficacy and safety of add-on apremilast versus add-on methotrexate in patients with oral lichen planus receiving oral prednisolone.</w:t>
      </w:r>
    </w:p>
    <w:p w14:paraId="5096C6EA" w14:textId="294A0D59" w:rsidR="0069535C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74E38" w:rsidRPr="00774E38">
        <w:rPr>
          <w:rFonts w:ascii="Calibri" w:hAnsi="Calibri" w:cs="Calibri"/>
          <w:sz w:val="20"/>
          <w:szCs w:val="20"/>
          <w:lang w:val="en-AU"/>
        </w:rPr>
        <w:t>In this randomized, open-label, parallel-group add-on trial (NCT06260904), eligible OLP patients were allocated to prednisolone plus apremilast or prednisolone plus methotrexate (n = 34 per arm). Efficacy outcomes included pain visual analogue scale (VAS), Physician Global Assessment (PGA), Oral Disease Severity Score (ODSS), Oral Health-Related Quality of Life (OHRQL), and serum interleukin-6 (IL-6). Clinical assessments were performed at baseline, 8 weeks, and 12 weeks; IL-6 levels were measured at baseline and week 12. Treatment-emergent adverse events were recorded.</w:t>
      </w:r>
    </w:p>
    <w:p w14:paraId="67AAAEC4" w14:textId="0B84E68D" w:rsidR="00171D0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74E38" w:rsidRPr="00774E38">
        <w:rPr>
          <w:rFonts w:ascii="Calibri" w:hAnsi="Calibri" w:cs="Calibri"/>
          <w:sz w:val="20"/>
          <w:szCs w:val="20"/>
        </w:rPr>
        <w:t>Baseline characteristics were comparable between groups, except for a higher proportion of females in the apremilast arm. Pain VAS scores decreased significantly over time in both groups (p &lt; 0.001), with a significant intergroup difference at 12 weeks favoring apremilast (p = 0.012). ODSS and OHRQL scores showed significant improvement over time (p &lt; 0.001), with ODSS demonstrating significant between-group differences at 8 and 12 weeks in favor of apremilast. The overall PGA responder rate was 35.6%. Serum IL-6 levels declined significantly in both groups without a significant intergroup difference. Adverse event profiles were comparable.</w:t>
      </w:r>
    </w:p>
    <w:p w14:paraId="062DD634" w14:textId="028D309C" w:rsidR="00EF12F3" w:rsidRPr="00171D07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74E38" w:rsidRPr="00774E38">
        <w:rPr>
          <w:rFonts w:ascii="Calibri" w:hAnsi="Calibri" w:cs="Calibri"/>
          <w:sz w:val="20"/>
          <w:szCs w:val="20"/>
          <w:lang w:val="en-AU"/>
        </w:rPr>
        <w:t>Both apremilast and methotrexate are effective and well-tolerated steroid add-on therapies for OLP. Apremilast demonstrated superior clinical improvement in selected efficacy domains, suggesting a potential advantage as a steroid-sparing option in routine clinical practice.</w:t>
      </w:r>
    </w:p>
    <w:sectPr w:rsidR="00EF12F3" w:rsidRPr="00171D07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247AA"/>
    <w:rsid w:val="000A41AF"/>
    <w:rsid w:val="000A4FA6"/>
    <w:rsid w:val="001662F1"/>
    <w:rsid w:val="00171D07"/>
    <w:rsid w:val="001824C5"/>
    <w:rsid w:val="001D5B87"/>
    <w:rsid w:val="002226BB"/>
    <w:rsid w:val="002272B0"/>
    <w:rsid w:val="00233837"/>
    <w:rsid w:val="00281D92"/>
    <w:rsid w:val="002D525D"/>
    <w:rsid w:val="002F381C"/>
    <w:rsid w:val="00300B92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69535C"/>
    <w:rsid w:val="006E268A"/>
    <w:rsid w:val="006E616A"/>
    <w:rsid w:val="00711813"/>
    <w:rsid w:val="007227B4"/>
    <w:rsid w:val="00724E3C"/>
    <w:rsid w:val="00743C46"/>
    <w:rsid w:val="00760B17"/>
    <w:rsid w:val="00774E38"/>
    <w:rsid w:val="00885303"/>
    <w:rsid w:val="008909C9"/>
    <w:rsid w:val="00893BBF"/>
    <w:rsid w:val="008B1BAA"/>
    <w:rsid w:val="00942BDD"/>
    <w:rsid w:val="00947B77"/>
    <w:rsid w:val="009E2228"/>
    <w:rsid w:val="009F06D6"/>
    <w:rsid w:val="00A266B4"/>
    <w:rsid w:val="00A71DEF"/>
    <w:rsid w:val="00AE2DA6"/>
    <w:rsid w:val="00BC5FCC"/>
    <w:rsid w:val="00BF7F45"/>
    <w:rsid w:val="00C132EC"/>
    <w:rsid w:val="00C30C82"/>
    <w:rsid w:val="00C60A71"/>
    <w:rsid w:val="00D55F3B"/>
    <w:rsid w:val="00DA2731"/>
    <w:rsid w:val="00E050A1"/>
    <w:rsid w:val="00E42BD9"/>
    <w:rsid w:val="00EF12F3"/>
    <w:rsid w:val="00F02477"/>
    <w:rsid w:val="00F53F9F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69E7A"/>
  <w15:chartTrackingRefBased/>
  <w15:docId w15:val="{F698A86A-632B-47F1-813E-C95EA754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D20B3-1513-4FA8-8FF1-C80415A78A5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Mowdharani Selvarajan</cp:lastModifiedBy>
  <cp:revision>8</cp:revision>
  <cp:lastPrinted>2013-06-13T09:45:00Z</cp:lastPrinted>
  <dcterms:created xsi:type="dcterms:W3CDTF">2026-01-24T05:24:00Z</dcterms:created>
  <dcterms:modified xsi:type="dcterms:W3CDTF">2026-02-04T06:41:00Z</dcterms:modified>
</cp:coreProperties>
</file>