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2E83" w14:textId="77777777" w:rsidR="00E644E9" w:rsidRDefault="00E644E9" w:rsidP="00E644E9">
      <w:pPr>
        <w:spacing w:after="0" w:line="240" w:lineRule="auto"/>
        <w:jc w:val="both"/>
        <w:rPr>
          <w:rFonts w:ascii="Arial" w:hAnsi="Arial" w:cs="Arial"/>
          <w:b/>
        </w:rPr>
      </w:pPr>
      <w:r w:rsidRPr="00E25E2C">
        <w:rPr>
          <w:rFonts w:ascii="Arial" w:hAnsi="Arial" w:cs="Arial"/>
          <w:b/>
        </w:rPr>
        <w:t xml:space="preserve">Evaluation of </w:t>
      </w:r>
      <w:r>
        <w:rPr>
          <w:rFonts w:ascii="Arial" w:hAnsi="Arial" w:cs="Arial"/>
          <w:b/>
        </w:rPr>
        <w:t>N</w:t>
      </w:r>
      <w:r w:rsidRPr="00E25E2C">
        <w:rPr>
          <w:rFonts w:ascii="Arial" w:hAnsi="Arial" w:cs="Arial"/>
          <w:b/>
        </w:rPr>
        <w:t xml:space="preserve">atural </w:t>
      </w:r>
      <w:r>
        <w:rPr>
          <w:rFonts w:ascii="Arial" w:hAnsi="Arial" w:cs="Arial"/>
          <w:b/>
        </w:rPr>
        <w:t>H</w:t>
      </w:r>
      <w:r w:rsidRPr="00E25E2C">
        <w:rPr>
          <w:rFonts w:ascii="Arial" w:hAnsi="Arial" w:cs="Arial"/>
          <w:b/>
        </w:rPr>
        <w:t xml:space="preserve">ydrogel-based </w:t>
      </w:r>
      <w:r>
        <w:rPr>
          <w:rFonts w:ascii="Arial" w:hAnsi="Arial" w:cs="Arial"/>
          <w:b/>
          <w:bCs/>
        </w:rPr>
        <w:t>P</w:t>
      </w:r>
      <w:r w:rsidRPr="51C3C969">
        <w:rPr>
          <w:rFonts w:ascii="Arial" w:hAnsi="Arial" w:cs="Arial"/>
          <w:b/>
          <w:bCs/>
        </w:rPr>
        <w:t>olymers</w:t>
      </w:r>
      <w:r w:rsidRPr="00E25E2C">
        <w:rPr>
          <w:rFonts w:ascii="Arial" w:hAnsi="Arial" w:cs="Arial"/>
          <w:b/>
        </w:rPr>
        <w:t xml:space="preserve"> for 3D </w:t>
      </w:r>
      <w:r>
        <w:rPr>
          <w:rFonts w:ascii="Arial" w:hAnsi="Arial" w:cs="Arial"/>
          <w:b/>
        </w:rPr>
        <w:t>P</w:t>
      </w:r>
      <w:r w:rsidRPr="00E25E2C">
        <w:rPr>
          <w:rFonts w:ascii="Arial" w:hAnsi="Arial" w:cs="Arial"/>
          <w:b/>
        </w:rPr>
        <w:t xml:space="preserve">rinting </w:t>
      </w:r>
      <w:r w:rsidRPr="51C3C969"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</w:rPr>
        <w:t xml:space="preserve">an </w:t>
      </w:r>
      <w:r>
        <w:rPr>
          <w:rFonts w:ascii="Arial" w:hAnsi="Arial" w:cs="Arial"/>
          <w:b/>
        </w:rPr>
        <w:t>O</w:t>
      </w:r>
      <w:r w:rsidRPr="00E25E2C">
        <w:rPr>
          <w:rFonts w:ascii="Arial" w:hAnsi="Arial" w:cs="Arial"/>
          <w:b/>
        </w:rPr>
        <w:t xml:space="preserve">cular </w:t>
      </w:r>
      <w:r>
        <w:rPr>
          <w:rFonts w:ascii="Arial" w:hAnsi="Arial" w:cs="Arial"/>
          <w:b/>
        </w:rPr>
        <w:t>I</w:t>
      </w:r>
      <w:r w:rsidRPr="00E25E2C">
        <w:rPr>
          <w:rFonts w:ascii="Arial" w:hAnsi="Arial" w:cs="Arial"/>
          <w:b/>
        </w:rPr>
        <w:t xml:space="preserve">nsert: </w:t>
      </w:r>
      <w:r>
        <w:rPr>
          <w:rFonts w:ascii="Arial" w:hAnsi="Arial" w:cs="Arial"/>
          <w:b/>
        </w:rPr>
        <w:t>R</w:t>
      </w:r>
      <w:r w:rsidRPr="00E25E2C">
        <w:rPr>
          <w:rFonts w:ascii="Arial" w:hAnsi="Arial" w:cs="Arial"/>
          <w:b/>
        </w:rPr>
        <w:t>heolog</w:t>
      </w:r>
      <w:r>
        <w:rPr>
          <w:rFonts w:ascii="Arial" w:hAnsi="Arial" w:cs="Arial"/>
          <w:b/>
        </w:rPr>
        <w:t>y</w:t>
      </w:r>
      <w:r w:rsidRPr="00E25E2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</w:t>
      </w:r>
      <w:r w:rsidRPr="00E25E2C">
        <w:rPr>
          <w:rFonts w:ascii="Arial" w:hAnsi="Arial" w:cs="Arial"/>
          <w:b/>
        </w:rPr>
        <w:t xml:space="preserve">urface </w:t>
      </w:r>
      <w:r>
        <w:rPr>
          <w:rFonts w:ascii="Arial" w:hAnsi="Arial" w:cs="Arial"/>
          <w:b/>
        </w:rPr>
        <w:t>T</w:t>
      </w:r>
      <w:r w:rsidRPr="00E25E2C">
        <w:rPr>
          <w:rFonts w:ascii="Arial" w:hAnsi="Arial" w:cs="Arial"/>
          <w:b/>
        </w:rPr>
        <w:t xml:space="preserve">opology, and FTIR </w:t>
      </w:r>
      <w:r>
        <w:rPr>
          <w:rFonts w:ascii="Arial" w:hAnsi="Arial" w:cs="Arial"/>
          <w:b/>
        </w:rPr>
        <w:t>A</w:t>
      </w:r>
      <w:r w:rsidRPr="00E25E2C">
        <w:rPr>
          <w:rFonts w:ascii="Arial" w:hAnsi="Arial" w:cs="Arial"/>
          <w:b/>
        </w:rPr>
        <w:t>nalysis.</w:t>
      </w:r>
    </w:p>
    <w:p w14:paraId="30C5430A" w14:textId="77777777" w:rsidR="00E644E9" w:rsidRPr="00A347BE" w:rsidRDefault="00E644E9" w:rsidP="00E644E9">
      <w:pPr>
        <w:spacing w:line="240" w:lineRule="auto"/>
        <w:jc w:val="both"/>
        <w:rPr>
          <w:rFonts w:ascii="Arial" w:hAnsi="Arial" w:cs="Arial"/>
          <w:b/>
        </w:rPr>
      </w:pPr>
      <w:r w:rsidRPr="00E25E2C">
        <w:rPr>
          <w:rFonts w:ascii="Arial" w:hAnsi="Arial" w:cs="Arial"/>
          <w:b/>
          <w:bCs/>
          <w:sz w:val="20"/>
          <w:szCs w:val="20"/>
          <w:u w:val="single"/>
        </w:rPr>
        <w:t>Christopher B Olowosoke</w:t>
      </w:r>
      <w:r w:rsidRPr="00E25E2C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1</w:t>
      </w:r>
      <w:r w:rsidRPr="00E25E2C">
        <w:rPr>
          <w:rFonts w:ascii="Arial" w:hAnsi="Arial" w:cs="Arial"/>
          <w:b/>
          <w:bCs/>
          <w:sz w:val="20"/>
          <w:szCs w:val="20"/>
        </w:rPr>
        <w:t>,</w:t>
      </w:r>
      <w:r w:rsidRPr="00E25E2C">
        <w:rPr>
          <w:rFonts w:ascii="Arial" w:hAnsi="Arial" w:cs="Arial"/>
          <w:sz w:val="20"/>
          <w:szCs w:val="20"/>
        </w:rPr>
        <w:t xml:space="preserve"> </w:t>
      </w:r>
      <w:r w:rsidRPr="00E25E2C">
        <w:rPr>
          <w:rFonts w:ascii="Arial" w:eastAsia="Times New Roman" w:hAnsi="Arial" w:cs="Arial"/>
          <w:kern w:val="36"/>
          <w:sz w:val="20"/>
          <w:szCs w:val="20"/>
          <w:lang w:eastAsia="en-AU"/>
          <w14:ligatures w14:val="none"/>
        </w:rPr>
        <w:t>Thilini Thrimawithana</w:t>
      </w:r>
      <w:r w:rsidRPr="00E25E2C">
        <w:rPr>
          <w:rFonts w:ascii="Arial" w:eastAsia="Times New Roman" w:hAnsi="Arial" w:cs="Arial"/>
          <w:kern w:val="36"/>
          <w:sz w:val="20"/>
          <w:szCs w:val="20"/>
          <w:vertAlign w:val="superscript"/>
          <w:lang w:eastAsia="en-AU"/>
          <w14:ligatures w14:val="none"/>
        </w:rPr>
        <w:t>2</w:t>
      </w:r>
      <w:r w:rsidRPr="00E25E2C">
        <w:rPr>
          <w:rFonts w:ascii="Arial" w:eastAsia="Times New Roman" w:hAnsi="Arial" w:cs="Arial"/>
          <w:kern w:val="36"/>
          <w:sz w:val="20"/>
          <w:szCs w:val="20"/>
          <w:lang w:eastAsia="en-AU"/>
          <w14:ligatures w14:val="none"/>
        </w:rPr>
        <w:t>, Tien Huynh</w:t>
      </w:r>
      <w:r w:rsidRPr="00E25E2C">
        <w:rPr>
          <w:rFonts w:ascii="Arial" w:eastAsia="Times New Roman" w:hAnsi="Arial" w:cs="Arial"/>
          <w:kern w:val="36"/>
          <w:sz w:val="20"/>
          <w:szCs w:val="20"/>
          <w:vertAlign w:val="superscript"/>
          <w:lang w:eastAsia="en-AU"/>
          <w14:ligatures w14:val="none"/>
        </w:rPr>
        <w:t>1</w:t>
      </w:r>
    </w:p>
    <w:p w14:paraId="1AA99C3E" w14:textId="77777777" w:rsidR="00E644E9" w:rsidRPr="00E25E2C" w:rsidRDefault="00E644E9" w:rsidP="00E644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E2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E25E2C">
        <w:rPr>
          <w:rFonts w:ascii="Arial" w:hAnsi="Arial" w:cs="Arial"/>
          <w:sz w:val="20"/>
          <w:szCs w:val="20"/>
        </w:rPr>
        <w:t>School of Science, RMIT University, PO Box 71, Bundoora, VIC 3083, Australia.</w:t>
      </w:r>
    </w:p>
    <w:p w14:paraId="77DBC68B" w14:textId="77777777" w:rsidR="00E644E9" w:rsidRPr="00E25E2C" w:rsidRDefault="00E644E9" w:rsidP="00E644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E2C">
        <w:rPr>
          <w:rFonts w:ascii="Arial" w:eastAsia="Times New Roman" w:hAnsi="Arial" w:cs="Arial"/>
          <w:b/>
          <w:bCs/>
          <w:kern w:val="36"/>
          <w:sz w:val="20"/>
          <w:szCs w:val="20"/>
          <w:vertAlign w:val="superscript"/>
          <w:lang w:eastAsia="en-AU"/>
          <w14:ligatures w14:val="none"/>
        </w:rPr>
        <w:t>2</w:t>
      </w:r>
      <w:r w:rsidRPr="00E25E2C">
        <w:rPr>
          <w:rFonts w:ascii="Arial" w:hAnsi="Arial" w:cs="Arial"/>
          <w:sz w:val="20"/>
          <w:szCs w:val="20"/>
        </w:rPr>
        <w:t>School of Health and Biomedical Sciences, RMIT University, PO Box 71, Bundoora, VIC 3083, Australia.</w:t>
      </w:r>
    </w:p>
    <w:p w14:paraId="455CC266" w14:textId="77777777" w:rsidR="00E644E9" w:rsidRPr="008C0D0B" w:rsidRDefault="00E644E9" w:rsidP="00E644E9">
      <w:pPr>
        <w:spacing w:after="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E25E2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aims.</w:t>
      </w:r>
      <w:r w:rsidRPr="00E25E2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Drug delivery to the back of the eye</w:t>
      </w:r>
      <w:r w:rsidRPr="00E25E2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is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challenging, and it</w:t>
      </w:r>
      <w:r w:rsidRPr="00E25E2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requires expertise and frequent use of invasive injection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Pr="00E25E2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to bypass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Pr="00E25E2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physical ocular barriers. Currently,</w:t>
      </w:r>
      <w:r w:rsidRPr="00E25E2C">
        <w:rPr>
          <w:rFonts w:ascii="Arial" w:hAnsi="Arial" w:cs="Arial"/>
          <w:sz w:val="20"/>
          <w:szCs w:val="20"/>
        </w:rPr>
        <w:t xml:space="preserve"> solid dosage forms including inserts, implants, and contact lens are used to increase contact time and controlled drug release to the retina (1). However, synthetic polymers are commonly used, </w:t>
      </w:r>
      <w:r>
        <w:rPr>
          <w:rFonts w:ascii="Arial" w:hAnsi="Arial" w:cs="Arial"/>
          <w:sz w:val="20"/>
          <w:szCs w:val="20"/>
        </w:rPr>
        <w:t xml:space="preserve">and this study aims to develop novel </w:t>
      </w:r>
      <w:r w:rsidRPr="00E25E2C">
        <w:rPr>
          <w:rFonts w:ascii="Arial" w:hAnsi="Arial" w:cs="Arial"/>
          <w:sz w:val="20"/>
          <w:szCs w:val="20"/>
        </w:rPr>
        <w:t>natural polymer</w:t>
      </w:r>
      <w:r>
        <w:rPr>
          <w:rFonts w:ascii="Arial" w:hAnsi="Arial" w:cs="Arial"/>
          <w:sz w:val="20"/>
          <w:szCs w:val="20"/>
        </w:rPr>
        <w:t xml:space="preserve">s as ocular inserts (OI) </w:t>
      </w:r>
      <w:r w:rsidRPr="00E25E2C">
        <w:rPr>
          <w:rFonts w:ascii="Arial" w:hAnsi="Arial" w:cs="Arial"/>
          <w:sz w:val="20"/>
          <w:szCs w:val="20"/>
        </w:rPr>
        <w:t>to enhance biocompatibility</w:t>
      </w:r>
      <w:r>
        <w:rPr>
          <w:rFonts w:ascii="Arial" w:hAnsi="Arial" w:cs="Arial"/>
          <w:sz w:val="20"/>
          <w:szCs w:val="20"/>
        </w:rPr>
        <w:t xml:space="preserve"> with focus on biodegradability and control release (2).</w:t>
      </w:r>
    </w:p>
    <w:p w14:paraId="129A9F4B" w14:textId="77777777" w:rsidR="00E644E9" w:rsidRPr="00E25E2C" w:rsidRDefault="00E644E9" w:rsidP="00E644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5E2C">
        <w:rPr>
          <w:rFonts w:ascii="Arial" w:hAnsi="Arial" w:cs="Arial"/>
          <w:b/>
          <w:bCs/>
          <w:sz w:val="20"/>
          <w:szCs w:val="20"/>
        </w:rPr>
        <w:t>Methods.</w:t>
      </w:r>
      <w:r w:rsidRPr="00E25E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E25E2C">
        <w:rPr>
          <w:rFonts w:ascii="Arial" w:hAnsi="Arial" w:cs="Arial"/>
          <w:sz w:val="20"/>
          <w:szCs w:val="20"/>
        </w:rPr>
        <w:t>ormulat</w:t>
      </w:r>
      <w:r>
        <w:rPr>
          <w:rFonts w:ascii="Arial" w:hAnsi="Arial" w:cs="Arial"/>
          <w:sz w:val="20"/>
          <w:szCs w:val="20"/>
        </w:rPr>
        <w:t>ion and 3D printing of</w:t>
      </w:r>
      <w:r w:rsidRPr="00E25E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OI</w:t>
      </w:r>
      <w:r w:rsidRPr="51C3C969">
        <w:rPr>
          <w:rFonts w:ascii="Arial" w:hAnsi="Arial" w:cs="Arial"/>
          <w:sz w:val="20"/>
          <w:szCs w:val="20"/>
        </w:rPr>
        <w:t xml:space="preserve"> using </w:t>
      </w:r>
      <w:r w:rsidRPr="00E25E2C">
        <w:rPr>
          <w:rFonts w:ascii="Arial" w:hAnsi="Arial" w:cs="Arial"/>
          <w:sz w:val="20"/>
          <w:szCs w:val="20"/>
        </w:rPr>
        <w:t xml:space="preserve">natural </w:t>
      </w:r>
      <w:r w:rsidRPr="51C3C969">
        <w:rPr>
          <w:rFonts w:ascii="Arial" w:hAnsi="Arial" w:cs="Arial"/>
          <w:sz w:val="20"/>
          <w:szCs w:val="20"/>
        </w:rPr>
        <w:t xml:space="preserve">biodegradable </w:t>
      </w:r>
      <w:r w:rsidRPr="00E25E2C">
        <w:rPr>
          <w:rFonts w:ascii="Arial" w:hAnsi="Arial" w:cs="Arial"/>
          <w:sz w:val="20"/>
          <w:szCs w:val="20"/>
        </w:rPr>
        <w:t>polymer</w:t>
      </w:r>
      <w:r>
        <w:rPr>
          <w:rFonts w:ascii="Arial" w:hAnsi="Arial" w:cs="Arial"/>
          <w:sz w:val="20"/>
          <w:szCs w:val="20"/>
        </w:rPr>
        <w:t>s</w:t>
      </w:r>
      <w:r w:rsidRPr="00E25E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 conducted. Printing rheology and biocompatibility was investigated by assessing</w:t>
      </w:r>
      <w:r w:rsidRPr="00E25E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viscosity, </w:t>
      </w:r>
      <w:r w:rsidRPr="00E25E2C">
        <w:rPr>
          <w:rFonts w:ascii="Arial" w:hAnsi="Arial" w:cs="Arial"/>
          <w:sz w:val="20"/>
          <w:szCs w:val="20"/>
        </w:rPr>
        <w:t>degradation</w:t>
      </w:r>
      <w:r>
        <w:rPr>
          <w:rFonts w:ascii="Arial" w:hAnsi="Arial" w:cs="Arial"/>
          <w:sz w:val="20"/>
          <w:szCs w:val="20"/>
        </w:rPr>
        <w:t>,</w:t>
      </w:r>
      <w:r w:rsidRPr="00E25E2C">
        <w:rPr>
          <w:rFonts w:ascii="Arial" w:hAnsi="Arial" w:cs="Arial"/>
          <w:sz w:val="20"/>
          <w:szCs w:val="20"/>
        </w:rPr>
        <w:t xml:space="preserve"> swelling </w:t>
      </w:r>
      <w:r>
        <w:rPr>
          <w:rFonts w:ascii="Arial" w:hAnsi="Arial" w:cs="Arial"/>
          <w:sz w:val="20"/>
          <w:szCs w:val="20"/>
        </w:rPr>
        <w:t>and</w:t>
      </w:r>
      <w:r w:rsidRPr="00E25E2C">
        <w:rPr>
          <w:rFonts w:ascii="Arial" w:hAnsi="Arial" w:cs="Arial"/>
          <w:sz w:val="20"/>
          <w:szCs w:val="20"/>
        </w:rPr>
        <w:t xml:space="preserve"> stability </w:t>
      </w:r>
      <w:r>
        <w:rPr>
          <w:rFonts w:ascii="Arial" w:hAnsi="Arial" w:cs="Arial"/>
          <w:sz w:val="20"/>
          <w:szCs w:val="20"/>
        </w:rPr>
        <w:t>using</w:t>
      </w:r>
      <w:r w:rsidRPr="00E25E2C">
        <w:rPr>
          <w:rFonts w:ascii="Arial" w:hAnsi="Arial" w:cs="Arial"/>
          <w:sz w:val="20"/>
          <w:szCs w:val="20"/>
        </w:rPr>
        <w:t xml:space="preserve"> </w:t>
      </w:r>
      <w:r w:rsidRPr="00C4793B">
        <w:rPr>
          <w:rFonts w:ascii="Arial" w:hAnsi="Arial" w:cs="Arial"/>
          <w:sz w:val="20"/>
          <w:szCs w:val="20"/>
        </w:rPr>
        <w:t>quanta SEM and</w:t>
      </w:r>
      <w:r>
        <w:rPr>
          <w:rFonts w:ascii="Arial" w:hAnsi="Arial" w:cs="Arial"/>
          <w:sz w:val="20"/>
          <w:szCs w:val="20"/>
        </w:rPr>
        <w:t xml:space="preserve"> </w:t>
      </w:r>
      <w:r w:rsidRPr="00E25E2C">
        <w:rPr>
          <w:rFonts w:ascii="Arial" w:hAnsi="Arial" w:cs="Arial"/>
          <w:sz w:val="20"/>
          <w:szCs w:val="20"/>
        </w:rPr>
        <w:t>FTIR analysis.</w:t>
      </w:r>
    </w:p>
    <w:p w14:paraId="50DDCAB9" w14:textId="77777777" w:rsidR="00E644E9" w:rsidRPr="00E25E2C" w:rsidRDefault="00E644E9" w:rsidP="00E644E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25E2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Pr="00E25E2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The best formulation</w:t>
      </w:r>
      <w:r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was</w:t>
      </w:r>
      <w:r w:rsidRPr="00E25E2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with </w:t>
      </w:r>
      <w:r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a </w:t>
      </w:r>
      <w:r w:rsidRPr="00E25E2C">
        <w:rPr>
          <w:rFonts w:ascii="Arial" w:eastAsia="Calibri" w:hAnsi="Arial" w:cs="Arial"/>
          <w:kern w:val="0"/>
          <w:sz w:val="20"/>
          <w:szCs w:val="20"/>
          <w14:ligatures w14:val="none"/>
        </w:rPr>
        <w:t>cross-linking agent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, that</w:t>
      </w:r>
      <w:r w:rsidRPr="00E25E2C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had 97-100 Pa.s viscosity suitable for 3D extrusion printing. The </w:t>
      </w:r>
      <w:r w:rsidRPr="00E25E2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storage and loss modulus value increased between 10-100 rad/s frequency, showing gel-like viscoelastic behaviour. With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the </w:t>
      </w:r>
      <w:r w:rsidRPr="00E25E2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swelling test, OI maximum swelling ratio was </w:t>
      </w:r>
      <w:r w:rsidRPr="00E25E2C">
        <w:rPr>
          <w:rFonts w:ascii="Arial" w:eastAsia="Calibri" w:hAnsi="Arial" w:cs="Arial"/>
          <w:sz w:val="20"/>
          <w:szCs w:val="20"/>
        </w:rPr>
        <w:t>25 at 15 mins, but reduced to 10 after 90 mins, whereas OI degraded to 50% after 240 mins in simulated tear fluid (STF). For the surface topology, average pore size was 1-4 μm,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25E2C">
        <w:rPr>
          <w:rFonts w:ascii="Arial" w:eastAsia="Calibri" w:hAnsi="Arial" w:cs="Arial"/>
          <w:sz w:val="20"/>
          <w:szCs w:val="20"/>
        </w:rPr>
        <w:t>porosity was 9-15%</w:t>
      </w:r>
      <w:r>
        <w:rPr>
          <w:rFonts w:ascii="Arial" w:eastAsia="Calibri" w:hAnsi="Arial" w:cs="Arial"/>
          <w:sz w:val="20"/>
          <w:szCs w:val="20"/>
        </w:rPr>
        <w:t xml:space="preserve">  and smooth surface of 16 μm</w:t>
      </w:r>
      <w:r w:rsidRPr="00E25E2C">
        <w:rPr>
          <w:rFonts w:ascii="Arial" w:eastAsia="Calibri" w:hAnsi="Arial" w:cs="Arial"/>
          <w:sz w:val="20"/>
          <w:szCs w:val="20"/>
        </w:rPr>
        <w:t>. The FTIR of OI showed absorbances for hydroxyl (3200-3600 cm</w:t>
      </w:r>
      <w:r w:rsidRPr="00E25E2C">
        <w:rPr>
          <w:rFonts w:ascii="Cambria Math" w:eastAsia="Calibri" w:hAnsi="Cambria Math" w:cs="Cambria Math"/>
          <w:sz w:val="20"/>
          <w:szCs w:val="20"/>
        </w:rPr>
        <w:t>⁻</w:t>
      </w:r>
      <w:r w:rsidRPr="00E25E2C">
        <w:rPr>
          <w:rFonts w:ascii="Arial" w:eastAsia="Calibri" w:hAnsi="Arial" w:cs="Arial"/>
          <w:sz w:val="20"/>
          <w:szCs w:val="20"/>
        </w:rPr>
        <w:t>¹), alkane, alkene (2800-3000 cm</w:t>
      </w:r>
      <w:r w:rsidRPr="00E25E2C">
        <w:rPr>
          <w:rFonts w:ascii="Cambria Math" w:eastAsia="Calibri" w:hAnsi="Cambria Math" w:cs="Cambria Math"/>
          <w:sz w:val="20"/>
          <w:szCs w:val="20"/>
        </w:rPr>
        <w:t>⁻</w:t>
      </w:r>
      <w:r w:rsidRPr="00E25E2C">
        <w:rPr>
          <w:rFonts w:ascii="Arial" w:eastAsia="Calibri" w:hAnsi="Arial" w:cs="Arial"/>
          <w:sz w:val="20"/>
          <w:szCs w:val="20"/>
        </w:rPr>
        <w:t>¹), carboxylate; asymmetric (1600-1650 cm</w:t>
      </w:r>
      <w:r w:rsidRPr="00E25E2C">
        <w:rPr>
          <w:rFonts w:ascii="Arial" w:eastAsia="Calibri" w:hAnsi="Arial" w:cs="Arial"/>
          <w:sz w:val="20"/>
          <w:szCs w:val="20"/>
          <w:vertAlign w:val="superscript"/>
        </w:rPr>
        <w:t>-1</w:t>
      </w:r>
      <w:r w:rsidRPr="00E25E2C">
        <w:rPr>
          <w:rFonts w:ascii="Arial" w:eastAsia="Calibri" w:hAnsi="Arial" w:cs="Arial"/>
          <w:sz w:val="20"/>
          <w:szCs w:val="20"/>
        </w:rPr>
        <w:t>), carboxylate; symmetric (1350-1450 cm</w:t>
      </w:r>
      <w:r w:rsidRPr="00E25E2C">
        <w:rPr>
          <w:rFonts w:ascii="Cambria Math" w:eastAsia="Calibri" w:hAnsi="Cambria Math" w:cs="Cambria Math"/>
          <w:sz w:val="20"/>
          <w:szCs w:val="20"/>
        </w:rPr>
        <w:t>⁻</w:t>
      </w:r>
      <w:r w:rsidRPr="00E25E2C">
        <w:rPr>
          <w:rFonts w:ascii="Arial" w:eastAsia="Calibri" w:hAnsi="Arial" w:cs="Arial"/>
          <w:sz w:val="20"/>
          <w:szCs w:val="20"/>
        </w:rPr>
        <w:t>¹), alcohols, ethers, and esters (1000-1300 cm</w:t>
      </w:r>
      <w:r w:rsidRPr="00E25E2C">
        <w:rPr>
          <w:rFonts w:ascii="Cambria Math" w:eastAsia="Calibri" w:hAnsi="Cambria Math" w:cs="Cambria Math"/>
          <w:sz w:val="20"/>
          <w:szCs w:val="20"/>
        </w:rPr>
        <w:t>⁻</w:t>
      </w:r>
      <w:r w:rsidRPr="00E25E2C">
        <w:rPr>
          <w:rFonts w:ascii="Arial" w:eastAsia="Calibri" w:hAnsi="Arial" w:cs="Arial"/>
          <w:sz w:val="20"/>
          <w:szCs w:val="20"/>
        </w:rPr>
        <w:t>¹)</w:t>
      </w:r>
      <w:r>
        <w:rPr>
          <w:rFonts w:ascii="Arial" w:eastAsia="Calibri" w:hAnsi="Arial" w:cs="Arial"/>
          <w:sz w:val="20"/>
          <w:szCs w:val="20"/>
        </w:rPr>
        <w:t xml:space="preserve"> indicating biomaterial structural characteristic</w:t>
      </w:r>
      <w:r w:rsidRPr="00E25E2C">
        <w:rPr>
          <w:rFonts w:ascii="Arial" w:eastAsia="Calibri" w:hAnsi="Arial" w:cs="Arial"/>
          <w:sz w:val="20"/>
          <w:szCs w:val="20"/>
        </w:rPr>
        <w:t>.</w:t>
      </w:r>
    </w:p>
    <w:p w14:paraId="67B70A2C" w14:textId="77777777" w:rsidR="00E644E9" w:rsidRPr="00E25E2C" w:rsidRDefault="00E644E9" w:rsidP="00E644E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25E2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Conclusion/Discussion.</w:t>
      </w:r>
      <w:r w:rsidRPr="00E25E2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E25E2C">
        <w:rPr>
          <w:rFonts w:ascii="Arial" w:hAnsi="Arial" w:cs="Arial"/>
          <w:sz w:val="20"/>
          <w:szCs w:val="20"/>
        </w:rPr>
        <w:t xml:space="preserve">This study shows </w:t>
      </w:r>
      <w:r>
        <w:rPr>
          <w:rFonts w:ascii="Arial" w:hAnsi="Arial" w:cs="Arial"/>
          <w:sz w:val="20"/>
          <w:szCs w:val="20"/>
        </w:rPr>
        <w:t xml:space="preserve">that </w:t>
      </w:r>
      <w:r w:rsidRPr="00E25E2C">
        <w:rPr>
          <w:rFonts w:ascii="Arial" w:hAnsi="Arial" w:cs="Arial"/>
          <w:sz w:val="20"/>
          <w:szCs w:val="20"/>
        </w:rPr>
        <w:t>formulated natural hydrogel-based polymer</w:t>
      </w:r>
      <w:r>
        <w:rPr>
          <w:rFonts w:ascii="Arial" w:hAnsi="Arial" w:cs="Arial"/>
          <w:sz w:val="20"/>
          <w:szCs w:val="20"/>
        </w:rPr>
        <w:t>s are</w:t>
      </w:r>
      <w:r w:rsidRPr="00E25E2C">
        <w:rPr>
          <w:rFonts w:ascii="Arial" w:hAnsi="Arial" w:cs="Arial"/>
          <w:sz w:val="20"/>
          <w:szCs w:val="20"/>
        </w:rPr>
        <w:t xml:space="preserve"> suitable for 3D printing of OI </w:t>
      </w:r>
      <w:r>
        <w:rPr>
          <w:rFonts w:ascii="Arial" w:hAnsi="Arial" w:cs="Arial"/>
          <w:sz w:val="20"/>
          <w:szCs w:val="20"/>
        </w:rPr>
        <w:t xml:space="preserve">for therapeutic applications </w:t>
      </w:r>
      <w:r w:rsidRPr="00E25E2C">
        <w:rPr>
          <w:rFonts w:ascii="Arial" w:hAnsi="Arial" w:cs="Arial"/>
          <w:sz w:val="20"/>
          <w:szCs w:val="20"/>
        </w:rPr>
        <w:t xml:space="preserve">that is non-invasive, patient-comfort friendly, and can be self-administered </w:t>
      </w:r>
      <w:r>
        <w:rPr>
          <w:rFonts w:ascii="Arial" w:hAnsi="Arial" w:cs="Arial"/>
          <w:sz w:val="20"/>
          <w:szCs w:val="20"/>
        </w:rPr>
        <w:t>without the need for removal</w:t>
      </w:r>
      <w:r w:rsidRPr="00E25E2C">
        <w:rPr>
          <w:rFonts w:ascii="Arial" w:hAnsi="Arial" w:cs="Arial"/>
          <w:sz w:val="20"/>
          <w:szCs w:val="20"/>
        </w:rPr>
        <w:t xml:space="preserve">. These findings highlight the potential of natural hydrogel in 3D-printing OI as </w:t>
      </w:r>
      <w:r>
        <w:rPr>
          <w:rFonts w:ascii="Arial" w:hAnsi="Arial" w:cs="Arial"/>
          <w:sz w:val="20"/>
          <w:szCs w:val="20"/>
        </w:rPr>
        <w:t xml:space="preserve">a </w:t>
      </w:r>
      <w:r w:rsidRPr="00E25E2C">
        <w:rPr>
          <w:rFonts w:ascii="Arial" w:hAnsi="Arial" w:cs="Arial"/>
          <w:sz w:val="20"/>
          <w:szCs w:val="20"/>
        </w:rPr>
        <w:t xml:space="preserve">drug delivery system, paving the way for personalised </w:t>
      </w:r>
      <w:r>
        <w:rPr>
          <w:rFonts w:ascii="Arial" w:hAnsi="Arial" w:cs="Arial"/>
          <w:sz w:val="20"/>
          <w:szCs w:val="20"/>
        </w:rPr>
        <w:t xml:space="preserve">medtech </w:t>
      </w:r>
      <w:r w:rsidRPr="00E25E2C">
        <w:rPr>
          <w:rFonts w:ascii="Arial" w:hAnsi="Arial" w:cs="Arial"/>
          <w:sz w:val="20"/>
          <w:szCs w:val="20"/>
        </w:rPr>
        <w:t>applications in ophthalmology.</w:t>
      </w:r>
    </w:p>
    <w:p w14:paraId="740E3A8F" w14:textId="77777777" w:rsidR="00E644E9" w:rsidRPr="00E25E2C" w:rsidRDefault="00E644E9" w:rsidP="00E644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1323AB66">
        <w:rPr>
          <w:rFonts w:ascii="Arial" w:eastAsia="Calibri" w:hAnsi="Arial" w:cs="Arial"/>
          <w:b/>
          <w:bCs/>
          <w:kern w:val="0"/>
          <w:sz w:val="20"/>
          <w:szCs w:val="20"/>
          <w:lang w:val="en-US"/>
          <w14:ligatures w14:val="none"/>
        </w:rPr>
        <w:t>Acknowledgement</w:t>
      </w:r>
      <w:r w:rsidRPr="00E25E2C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. </w:t>
      </w:r>
      <w:r w:rsidRPr="1323AB66">
        <w:rPr>
          <w:rFonts w:ascii="Arial" w:eastAsia="Calibri" w:hAnsi="Arial" w:cs="Arial"/>
          <w:sz w:val="20"/>
          <w:szCs w:val="20"/>
          <w:lang w:val="en-US"/>
        </w:rPr>
        <w:t>C</w:t>
      </w:r>
      <w:r>
        <w:rPr>
          <w:rFonts w:ascii="Arial" w:eastAsia="Calibri" w:hAnsi="Arial" w:cs="Arial"/>
          <w:sz w:val="20"/>
          <w:szCs w:val="20"/>
          <w:lang w:val="en-US"/>
        </w:rPr>
        <w:t>B</w:t>
      </w:r>
      <w:r w:rsidRPr="1323AB66">
        <w:rPr>
          <w:rFonts w:ascii="Arial" w:eastAsia="Calibri" w:hAnsi="Arial" w:cs="Arial"/>
          <w:sz w:val="20"/>
          <w:szCs w:val="20"/>
          <w:lang w:val="en-US"/>
        </w:rPr>
        <w:t xml:space="preserve">O awarded an </w:t>
      </w:r>
      <w:r w:rsidRPr="00E25E2C">
        <w:rPr>
          <w:rFonts w:ascii="Arial" w:hAnsi="Arial" w:cs="Arial"/>
          <w:sz w:val="20"/>
          <w:szCs w:val="20"/>
        </w:rPr>
        <w:t>RMIT</w:t>
      </w:r>
      <w:r w:rsidRPr="1323AB66">
        <w:rPr>
          <w:rFonts w:ascii="Arial" w:hAnsi="Arial" w:cs="Arial"/>
          <w:sz w:val="20"/>
          <w:szCs w:val="20"/>
        </w:rPr>
        <w:t xml:space="preserve"> scholarship.</w:t>
      </w:r>
    </w:p>
    <w:p w14:paraId="60E97476" w14:textId="77777777" w:rsidR="00E644E9" w:rsidRPr="00E25E2C" w:rsidRDefault="00E644E9" w:rsidP="00E644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25BE16" w14:textId="77777777" w:rsidR="00E644E9" w:rsidRPr="00E25E2C" w:rsidRDefault="00E644E9" w:rsidP="00E644E9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25E2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References</w:t>
      </w:r>
    </w:p>
    <w:p w14:paraId="7DFA4F6B" w14:textId="77777777" w:rsidR="00E644E9" w:rsidRPr="00E25E2C" w:rsidRDefault="00E644E9" w:rsidP="00E644E9">
      <w:pPr>
        <w:pStyle w:val="EndNoteBibliography"/>
        <w:spacing w:after="0"/>
        <w:ind w:left="360"/>
        <w:rPr>
          <w:rFonts w:ascii="Arial" w:hAnsi="Arial" w:cs="Arial"/>
        </w:rPr>
      </w:pPr>
      <w:r w:rsidRPr="004A7149">
        <w:rPr>
          <w:rFonts w:ascii="Arial" w:hAnsi="Arial" w:cs="Arial"/>
          <w:b/>
          <w:bCs/>
        </w:rPr>
        <w:t>(1).</w:t>
      </w:r>
      <w:r w:rsidRPr="00E25E2C">
        <w:rPr>
          <w:rFonts w:ascii="Arial" w:hAnsi="Arial" w:cs="Arial"/>
        </w:rPr>
        <w:t xml:space="preserve"> Ross, A. E., Lokendrakumar, C. B., Rehka, T., Daniel, E. M., Borja, S.-C., Hidenaga, K., Paraskevi, E. K., Hualei, Z., Koli, T., Liangju, K., Manisha, M., Demetrios, G. V., Daniel, S. K., &amp; Joseph, B. C. (2019). Topical sustained drug delivery to the retina with a drug-eluting contact lens. </w:t>
      </w:r>
      <w:r w:rsidRPr="00E25E2C">
        <w:rPr>
          <w:rFonts w:ascii="Arial" w:hAnsi="Arial" w:cs="Arial"/>
          <w:i/>
        </w:rPr>
        <w:t>Biomaterials</w:t>
      </w:r>
      <w:r w:rsidRPr="00E25E2C">
        <w:rPr>
          <w:rFonts w:ascii="Arial" w:hAnsi="Arial" w:cs="Arial"/>
        </w:rPr>
        <w:t>,</w:t>
      </w:r>
      <w:r w:rsidRPr="00E25E2C">
        <w:rPr>
          <w:rFonts w:ascii="Arial" w:hAnsi="Arial" w:cs="Arial"/>
          <w:i/>
        </w:rPr>
        <w:t xml:space="preserve"> </w:t>
      </w:r>
      <w:r w:rsidRPr="00B95847">
        <w:rPr>
          <w:rFonts w:ascii="Arial" w:hAnsi="Arial" w:cs="Arial"/>
          <w:iCs/>
        </w:rPr>
        <w:t xml:space="preserve">217, </w:t>
      </w:r>
      <w:r w:rsidRPr="00E25E2C">
        <w:rPr>
          <w:rFonts w:ascii="Arial" w:hAnsi="Arial" w:cs="Arial"/>
        </w:rPr>
        <w:t xml:space="preserve">119285. </w:t>
      </w:r>
      <w:r w:rsidRPr="00E25E2C">
        <w:rPr>
          <w:rFonts w:ascii="Arial" w:hAnsi="Arial" w:cs="Arial"/>
        </w:rPr>
        <w:fldChar w:fldCharType="begin"/>
      </w:r>
      <w:r w:rsidRPr="00E25E2C">
        <w:rPr>
          <w:rFonts w:ascii="Arial" w:hAnsi="Arial" w:cs="Arial"/>
        </w:rPr>
        <w:instrText xml:space="preserve">HYPERLINK "https://doi.org/10.1016/j.biomaterials.2019.119285 </w:instrText>
      </w:r>
    </w:p>
    <w:p w14:paraId="06C5BEC6" w14:textId="77777777" w:rsidR="00E644E9" w:rsidRPr="00E25E2C" w:rsidRDefault="00E644E9" w:rsidP="00E644E9">
      <w:pPr>
        <w:pStyle w:val="EndNoteBibliography"/>
        <w:spacing w:after="0"/>
        <w:ind w:left="360"/>
        <w:rPr>
          <w:rStyle w:val="Hyperlink"/>
          <w:rFonts w:ascii="Arial" w:hAnsi="Arial" w:cs="Arial"/>
        </w:rPr>
      </w:pPr>
      <w:r w:rsidRPr="00E25E2C">
        <w:rPr>
          <w:rFonts w:ascii="Arial" w:hAnsi="Arial" w:cs="Arial"/>
        </w:rPr>
        <w:instrText>(2"</w:instrText>
      </w:r>
      <w:r w:rsidRPr="00E25E2C">
        <w:rPr>
          <w:rFonts w:ascii="Arial" w:hAnsi="Arial" w:cs="Arial"/>
        </w:rPr>
      </w:r>
      <w:r w:rsidRPr="00E25E2C">
        <w:rPr>
          <w:rFonts w:ascii="Arial" w:hAnsi="Arial" w:cs="Arial"/>
        </w:rPr>
        <w:fldChar w:fldCharType="separate"/>
      </w:r>
      <w:r w:rsidRPr="00E25E2C">
        <w:rPr>
          <w:rStyle w:val="Hyperlink"/>
          <w:rFonts w:ascii="Arial" w:hAnsi="Arial" w:cs="Arial"/>
        </w:rPr>
        <w:t xml:space="preserve">https://doi.org/10.1016/j.biomaterials.2019.119285 </w:t>
      </w:r>
    </w:p>
    <w:p w14:paraId="6B3471FE" w14:textId="77777777" w:rsidR="00E644E9" w:rsidRPr="00E25E2C" w:rsidRDefault="00E644E9" w:rsidP="00E644E9">
      <w:pPr>
        <w:pStyle w:val="EndNoteBibliography"/>
        <w:spacing w:after="0"/>
        <w:ind w:left="360"/>
        <w:rPr>
          <w:rFonts w:ascii="Arial" w:hAnsi="Arial" w:cs="Arial"/>
        </w:rPr>
      </w:pPr>
      <w:r w:rsidRPr="004A7149">
        <w:rPr>
          <w:rStyle w:val="Hyperlink"/>
          <w:rFonts w:ascii="Arial" w:hAnsi="Arial" w:cs="Arial"/>
          <w:b/>
          <w:bCs/>
        </w:rPr>
        <w:t>(2</w:t>
      </w:r>
      <w:r w:rsidRPr="00E25E2C">
        <w:rPr>
          <w:rFonts w:ascii="Arial" w:hAnsi="Arial" w:cs="Arial"/>
        </w:rPr>
        <w:fldChar w:fldCharType="end"/>
      </w:r>
      <w:r w:rsidRPr="004A7149">
        <w:rPr>
          <w:rFonts w:ascii="Arial" w:hAnsi="Arial" w:cs="Arial"/>
          <w:b/>
          <w:bCs/>
        </w:rPr>
        <w:t>).</w:t>
      </w:r>
      <w:r w:rsidRPr="00E25E2C">
        <w:rPr>
          <w:rFonts w:ascii="Arial" w:hAnsi="Arial" w:cs="Arial"/>
        </w:rPr>
        <w:t xml:space="preserve"> Allyn, M. M., Luo, R. H., Hellwarth, E. B., &amp; Swindle-Reilly, K. E. (2022). Considerations for Polymers Used in Ocular Drug Delivery. </w:t>
      </w:r>
      <w:r w:rsidRPr="00E25E2C">
        <w:rPr>
          <w:rFonts w:ascii="Arial" w:hAnsi="Arial" w:cs="Arial"/>
          <w:i/>
        </w:rPr>
        <w:t>Frontiers in Medicine</w:t>
      </w:r>
      <w:r w:rsidRPr="00E25E2C">
        <w:rPr>
          <w:rFonts w:ascii="Arial" w:hAnsi="Arial" w:cs="Arial"/>
        </w:rPr>
        <w:t>,</w:t>
      </w:r>
      <w:r w:rsidRPr="00E25E2C">
        <w:rPr>
          <w:rFonts w:ascii="Arial" w:hAnsi="Arial" w:cs="Arial"/>
          <w:i/>
        </w:rPr>
        <w:t xml:space="preserve"> 8</w:t>
      </w:r>
      <w:r w:rsidRPr="00E25E2C">
        <w:rPr>
          <w:rFonts w:ascii="Arial" w:hAnsi="Arial" w:cs="Arial"/>
        </w:rPr>
        <w:t xml:space="preserve">. </w:t>
      </w:r>
      <w:hyperlink r:id="rId4" w:history="1">
        <w:r w:rsidRPr="00E25E2C">
          <w:rPr>
            <w:rStyle w:val="Hyperlink"/>
            <w:rFonts w:ascii="Arial" w:hAnsi="Arial" w:cs="Arial"/>
          </w:rPr>
          <w:t>https://doi.org/10.3389/fmed.2021.787644</w:t>
        </w:r>
      </w:hyperlink>
      <w:r w:rsidRPr="00E25E2C">
        <w:rPr>
          <w:rFonts w:ascii="Arial" w:hAnsi="Arial" w:cs="Arial"/>
        </w:rPr>
        <w:t xml:space="preserve"> </w:t>
      </w:r>
    </w:p>
    <w:p w14:paraId="560602BA" w14:textId="77777777" w:rsidR="00E644E9" w:rsidRPr="00E25E2C" w:rsidRDefault="00E644E9" w:rsidP="00E644E9">
      <w:pPr>
        <w:pStyle w:val="EndNoteBibliography"/>
        <w:spacing w:after="0"/>
        <w:ind w:left="360"/>
        <w:rPr>
          <w:rFonts w:ascii="Arial" w:hAnsi="Arial" w:cs="Arial"/>
        </w:rPr>
      </w:pPr>
    </w:p>
    <w:p w14:paraId="3FA37150" w14:textId="77777777" w:rsidR="00E644E9" w:rsidRPr="00E25E2C" w:rsidRDefault="00E644E9" w:rsidP="00E644E9">
      <w:pPr>
        <w:rPr>
          <w:rFonts w:ascii="Arial" w:hAnsi="Arial" w:cs="Arial"/>
        </w:rPr>
      </w:pPr>
    </w:p>
    <w:p w14:paraId="7C3ED86F" w14:textId="77777777" w:rsidR="00E644E9" w:rsidRDefault="00E644E9"/>
    <w:sectPr w:rsidR="00E64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E9"/>
    <w:rsid w:val="00AB3D74"/>
    <w:rsid w:val="00E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0897"/>
  <w15:chartTrackingRefBased/>
  <w15:docId w15:val="{5259F439-A2F0-4E7A-8721-800BE2C7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E9"/>
  </w:style>
  <w:style w:type="paragraph" w:styleId="Heading1">
    <w:name w:val="heading 1"/>
    <w:basedOn w:val="Normal"/>
    <w:next w:val="Normal"/>
    <w:link w:val="Heading1Char"/>
    <w:uiPriority w:val="9"/>
    <w:qFormat/>
    <w:rsid w:val="00E64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4E9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E644E9"/>
    <w:pPr>
      <w:spacing w:line="240" w:lineRule="auto"/>
      <w:jc w:val="both"/>
    </w:pPr>
    <w:rPr>
      <w:rFonts w:ascii="Aptos" w:hAnsi="Aptos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644E9"/>
    <w:rPr>
      <w:rFonts w:ascii="Aptos" w:hAnsi="Aptos"/>
      <w:noProof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E644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89/fmed.2021.78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Olowosoke</dc:creator>
  <cp:keywords/>
  <dc:description/>
  <cp:lastModifiedBy>Christopher Olowosoke</cp:lastModifiedBy>
  <cp:revision>1</cp:revision>
  <dcterms:created xsi:type="dcterms:W3CDTF">2025-05-29T06:01:00Z</dcterms:created>
  <dcterms:modified xsi:type="dcterms:W3CDTF">2025-05-29T06:02:00Z</dcterms:modified>
</cp:coreProperties>
</file>