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173" w:rsidRPr="009821A1" w:rsidRDefault="00AE2173" w:rsidP="00AE2173">
      <w:pPr>
        <w:jc w:val="both"/>
        <w:rPr>
          <w:rFonts w:asciiTheme="minorHAnsi" w:hAnsiTheme="minorHAnsi" w:cs="Calibri"/>
          <w:b/>
          <w:sz w:val="20"/>
          <w:szCs w:val="20"/>
          <w:lang w:val="en-AU"/>
        </w:rPr>
      </w:pPr>
      <w:r w:rsidRPr="009821A1">
        <w:rPr>
          <w:rFonts w:asciiTheme="minorHAnsi" w:hAnsiTheme="minorHAnsi" w:cs="Calibri"/>
          <w:b/>
          <w:sz w:val="20"/>
          <w:szCs w:val="20"/>
          <w:lang w:val="en-AU"/>
        </w:rPr>
        <w:t>F</w:t>
      </w:r>
      <w:r w:rsidRPr="009821A1">
        <w:rPr>
          <w:rFonts w:asciiTheme="minorHAnsi" w:hAnsiTheme="minorHAnsi"/>
          <w:b/>
          <w:sz w:val="20"/>
          <w:szCs w:val="20"/>
        </w:rPr>
        <w:t xml:space="preserve">irst dose </w:t>
      </w:r>
      <w:r w:rsidR="009821A1" w:rsidRPr="009821A1">
        <w:rPr>
          <w:rFonts w:asciiTheme="minorHAnsi" w:hAnsiTheme="minorHAnsi"/>
          <w:b/>
          <w:sz w:val="20"/>
          <w:szCs w:val="20"/>
        </w:rPr>
        <w:t>monitoring of busulfan is not re</w:t>
      </w:r>
      <w:r w:rsidRPr="009821A1">
        <w:rPr>
          <w:rFonts w:asciiTheme="minorHAnsi" w:hAnsiTheme="minorHAnsi"/>
          <w:b/>
          <w:sz w:val="20"/>
          <w:szCs w:val="20"/>
        </w:rPr>
        <w:t>l</w:t>
      </w:r>
      <w:r w:rsidR="009821A1" w:rsidRPr="009821A1">
        <w:rPr>
          <w:rFonts w:asciiTheme="minorHAnsi" w:hAnsiTheme="minorHAnsi"/>
          <w:b/>
          <w:sz w:val="20"/>
          <w:szCs w:val="20"/>
        </w:rPr>
        <w:t>i</w:t>
      </w:r>
      <w:r w:rsidRPr="009821A1">
        <w:rPr>
          <w:rFonts w:asciiTheme="minorHAnsi" w:hAnsiTheme="minorHAnsi"/>
          <w:b/>
          <w:sz w:val="20"/>
          <w:szCs w:val="20"/>
        </w:rPr>
        <w:t>able</w:t>
      </w:r>
      <w:r w:rsidR="009821A1" w:rsidRPr="009821A1">
        <w:rPr>
          <w:rFonts w:asciiTheme="minorHAnsi" w:hAnsiTheme="minorHAnsi"/>
          <w:b/>
          <w:sz w:val="20"/>
          <w:szCs w:val="20"/>
        </w:rPr>
        <w:t xml:space="preserve"> to predict cumulative exposure.</w:t>
      </w:r>
    </w:p>
    <w:p w:rsidR="00AE2173" w:rsidRPr="009821A1" w:rsidRDefault="00AE2173" w:rsidP="00AE2173">
      <w:pPr>
        <w:jc w:val="both"/>
        <w:rPr>
          <w:rFonts w:asciiTheme="minorHAnsi" w:hAnsiTheme="minorHAnsi" w:cs="Calibri"/>
          <w:sz w:val="20"/>
          <w:szCs w:val="20"/>
          <w:lang w:val="en-AU"/>
        </w:rPr>
      </w:pPr>
      <w:r w:rsidRPr="009821A1">
        <w:rPr>
          <w:rFonts w:asciiTheme="minorHAnsi" w:hAnsiTheme="minorHAnsi" w:cs="Calibri"/>
          <w:sz w:val="20"/>
          <w:szCs w:val="20"/>
          <w:lang w:val="en-AU"/>
        </w:rPr>
        <w:t>H Tesfaye</w:t>
      </w:r>
      <w:r w:rsidRPr="009821A1">
        <w:rPr>
          <w:rFonts w:asciiTheme="minorHAnsi" w:hAnsiTheme="minorHAnsi" w:cs="Calibri"/>
          <w:sz w:val="20"/>
          <w:szCs w:val="20"/>
          <w:vertAlign w:val="superscript"/>
          <w:lang w:val="en-AU"/>
        </w:rPr>
        <w:t>1</w:t>
      </w:r>
      <w:r w:rsidRPr="009821A1">
        <w:rPr>
          <w:rFonts w:asciiTheme="minorHAnsi" w:hAnsiTheme="minorHAnsi" w:cs="Calibri"/>
          <w:sz w:val="20"/>
          <w:szCs w:val="20"/>
          <w:lang w:val="en-AU"/>
        </w:rPr>
        <w:t>, P Sedlacek</w:t>
      </w:r>
      <w:r w:rsidRPr="009821A1">
        <w:rPr>
          <w:rFonts w:asciiTheme="minorHAnsi" w:hAnsiTheme="minorHAnsi" w:cs="Calibri"/>
          <w:sz w:val="20"/>
          <w:szCs w:val="20"/>
          <w:vertAlign w:val="superscript"/>
          <w:lang w:val="en-AU"/>
        </w:rPr>
        <w:t>2</w:t>
      </w:r>
      <w:r w:rsidRPr="009821A1">
        <w:rPr>
          <w:rFonts w:asciiTheme="minorHAnsi" w:hAnsiTheme="minorHAnsi" w:cs="Calibri"/>
          <w:sz w:val="20"/>
          <w:szCs w:val="20"/>
          <w:lang w:val="en-AU"/>
        </w:rPr>
        <w:t xml:space="preserve"> , R Formankova</w:t>
      </w:r>
      <w:r w:rsidRPr="009821A1">
        <w:rPr>
          <w:rFonts w:asciiTheme="minorHAnsi" w:hAnsiTheme="minorHAnsi" w:cs="Calibri"/>
          <w:sz w:val="20"/>
          <w:szCs w:val="20"/>
          <w:vertAlign w:val="superscript"/>
          <w:lang w:val="en-AU"/>
        </w:rPr>
        <w:t>2</w:t>
      </w:r>
      <w:r w:rsidR="00940F24" w:rsidRPr="009821A1">
        <w:rPr>
          <w:rFonts w:asciiTheme="minorHAnsi" w:hAnsiTheme="minorHAnsi" w:cs="Calibri"/>
          <w:sz w:val="20"/>
          <w:szCs w:val="20"/>
          <w:vertAlign w:val="superscript"/>
          <w:lang w:val="en-AU"/>
        </w:rPr>
        <w:t xml:space="preserve"> </w:t>
      </w:r>
      <w:r w:rsidRPr="009821A1">
        <w:rPr>
          <w:rFonts w:asciiTheme="minorHAnsi" w:hAnsiTheme="minorHAnsi" w:cs="Calibri"/>
          <w:sz w:val="20"/>
          <w:szCs w:val="20"/>
          <w:lang w:val="en-AU"/>
        </w:rPr>
        <w:t>, D</w:t>
      </w:r>
      <w:r w:rsidR="00940F24" w:rsidRPr="009821A1">
        <w:rPr>
          <w:rFonts w:asciiTheme="minorHAnsi" w:hAnsiTheme="minorHAnsi" w:cs="Calibri"/>
          <w:sz w:val="20"/>
          <w:szCs w:val="20"/>
          <w:lang w:val="en-AU"/>
        </w:rPr>
        <w:t xml:space="preserve"> Janec</w:t>
      </w:r>
      <w:r w:rsidRPr="009821A1">
        <w:rPr>
          <w:rFonts w:asciiTheme="minorHAnsi" w:hAnsiTheme="minorHAnsi" w:cs="Calibri"/>
          <w:sz w:val="20"/>
          <w:szCs w:val="20"/>
          <w:lang w:val="en-AU"/>
        </w:rPr>
        <w:t>kova</w:t>
      </w:r>
      <w:r w:rsidRPr="009821A1">
        <w:rPr>
          <w:rFonts w:asciiTheme="minorHAnsi" w:hAnsiTheme="minorHAnsi" w:cs="Calibri"/>
          <w:sz w:val="20"/>
          <w:szCs w:val="20"/>
          <w:vertAlign w:val="superscript"/>
          <w:lang w:val="en-AU"/>
        </w:rPr>
        <w:t>2</w:t>
      </w:r>
      <w:r w:rsidR="00940F24" w:rsidRPr="009821A1">
        <w:rPr>
          <w:rFonts w:asciiTheme="minorHAnsi" w:hAnsiTheme="minorHAnsi" w:cs="Calibri"/>
          <w:sz w:val="20"/>
          <w:szCs w:val="20"/>
          <w:lang w:val="en-AU"/>
        </w:rPr>
        <w:t>,</w:t>
      </w:r>
      <w:r w:rsidR="001D43BC">
        <w:rPr>
          <w:rFonts w:asciiTheme="minorHAnsi" w:hAnsiTheme="minorHAnsi" w:cs="Calibri"/>
          <w:sz w:val="20"/>
          <w:szCs w:val="20"/>
          <w:lang w:val="en-AU"/>
        </w:rPr>
        <w:t xml:space="preserve"> </w:t>
      </w:r>
      <w:r w:rsidRPr="009821A1">
        <w:rPr>
          <w:rFonts w:asciiTheme="minorHAnsi" w:hAnsiTheme="minorHAnsi" w:cs="Calibri"/>
          <w:sz w:val="20"/>
          <w:szCs w:val="20"/>
          <w:lang w:val="en-AU"/>
        </w:rPr>
        <w:t>K Dunovska</w:t>
      </w:r>
      <w:r w:rsidRPr="009821A1">
        <w:rPr>
          <w:rFonts w:asciiTheme="minorHAnsi" w:hAnsiTheme="minorHAnsi" w:cs="Calibri"/>
          <w:sz w:val="20"/>
          <w:szCs w:val="20"/>
          <w:vertAlign w:val="superscript"/>
          <w:lang w:val="en-AU"/>
        </w:rPr>
        <w:t>1</w:t>
      </w:r>
      <w:r w:rsidRPr="009821A1">
        <w:rPr>
          <w:rFonts w:asciiTheme="minorHAnsi" w:hAnsiTheme="minorHAnsi" w:cs="Calibri"/>
          <w:sz w:val="20"/>
          <w:szCs w:val="20"/>
          <w:lang w:val="en-AU"/>
        </w:rPr>
        <w:t>, M Mellova</w:t>
      </w:r>
      <w:r w:rsidRPr="009821A1">
        <w:rPr>
          <w:rFonts w:asciiTheme="minorHAnsi" w:hAnsiTheme="minorHAnsi" w:cs="Calibri"/>
          <w:sz w:val="20"/>
          <w:szCs w:val="20"/>
          <w:vertAlign w:val="superscript"/>
          <w:lang w:val="en-AU"/>
        </w:rPr>
        <w:t>1</w:t>
      </w:r>
      <w:r w:rsidR="00EA7A99">
        <w:rPr>
          <w:rFonts w:asciiTheme="minorHAnsi" w:hAnsiTheme="minorHAnsi" w:cs="Calibri"/>
          <w:sz w:val="20"/>
          <w:szCs w:val="20"/>
          <w:lang w:val="en-AU"/>
        </w:rPr>
        <w:t xml:space="preserve"> Dept.</w:t>
      </w:r>
      <w:r w:rsidRPr="009821A1">
        <w:rPr>
          <w:rFonts w:asciiTheme="minorHAnsi" w:hAnsiTheme="minorHAnsi" w:cs="Calibri"/>
          <w:sz w:val="20"/>
          <w:szCs w:val="20"/>
          <w:lang w:val="en-AU"/>
        </w:rPr>
        <w:t xml:space="preserve"> </w:t>
      </w:r>
      <w:r w:rsidR="00940F24" w:rsidRPr="009821A1">
        <w:rPr>
          <w:rFonts w:asciiTheme="minorHAnsi" w:hAnsiTheme="minorHAnsi" w:cs="Calibri"/>
          <w:sz w:val="20"/>
          <w:szCs w:val="20"/>
          <w:lang w:val="en-AU"/>
        </w:rPr>
        <w:t>Medical Chemistry and Clinical Biochemitry</w:t>
      </w:r>
      <w:r w:rsidRPr="009821A1">
        <w:rPr>
          <w:rFonts w:asciiTheme="minorHAnsi" w:hAnsiTheme="minorHAnsi" w:cs="Calibri"/>
          <w:sz w:val="20"/>
          <w:szCs w:val="20"/>
          <w:vertAlign w:val="superscript"/>
          <w:lang w:val="en-AU"/>
        </w:rPr>
        <w:t>1</w:t>
      </w:r>
      <w:r w:rsidRPr="009821A1">
        <w:rPr>
          <w:rFonts w:asciiTheme="minorHAnsi" w:hAnsiTheme="minorHAnsi" w:cs="Calibri"/>
          <w:sz w:val="20"/>
          <w:szCs w:val="20"/>
          <w:lang w:val="en-AU"/>
        </w:rPr>
        <w:t xml:space="preserve">; </w:t>
      </w:r>
      <w:r w:rsidR="00EA7A99">
        <w:rPr>
          <w:rFonts w:asciiTheme="minorHAnsi" w:hAnsiTheme="minorHAnsi" w:cs="Calibri"/>
          <w:sz w:val="20"/>
          <w:szCs w:val="20"/>
          <w:lang w:val="en-AU"/>
        </w:rPr>
        <w:t>Dept.</w:t>
      </w:r>
      <w:r w:rsidR="00940F24" w:rsidRPr="009821A1">
        <w:rPr>
          <w:rFonts w:asciiTheme="minorHAnsi" w:hAnsiTheme="minorHAnsi" w:cs="Calibri"/>
          <w:sz w:val="20"/>
          <w:szCs w:val="20"/>
          <w:lang w:val="en-AU"/>
        </w:rPr>
        <w:t xml:space="preserve"> of Paediatric Haematooncology</w:t>
      </w:r>
      <w:r w:rsidR="00294633" w:rsidRPr="009821A1">
        <w:rPr>
          <w:rFonts w:asciiTheme="minorHAnsi" w:hAnsiTheme="minorHAnsi" w:cs="Calibri"/>
          <w:sz w:val="20"/>
          <w:szCs w:val="20"/>
          <w:vertAlign w:val="superscript"/>
          <w:lang w:val="en-AU"/>
        </w:rPr>
        <w:t>2</w:t>
      </w:r>
      <w:r w:rsidR="00940F24" w:rsidRPr="009821A1">
        <w:rPr>
          <w:rFonts w:asciiTheme="minorHAnsi" w:hAnsiTheme="minorHAnsi" w:cs="Calibri"/>
          <w:sz w:val="20"/>
          <w:szCs w:val="20"/>
          <w:lang w:val="en-AU"/>
        </w:rPr>
        <w:t>,</w:t>
      </w:r>
      <w:r w:rsidR="00294633" w:rsidRPr="009821A1">
        <w:rPr>
          <w:rFonts w:asciiTheme="minorHAnsi" w:hAnsiTheme="minorHAnsi" w:cs="Calibri"/>
          <w:sz w:val="20"/>
          <w:szCs w:val="20"/>
          <w:lang w:val="en-AU"/>
        </w:rPr>
        <w:t xml:space="preserve"> </w:t>
      </w:r>
      <w:r w:rsidR="00940F24" w:rsidRPr="009821A1">
        <w:rPr>
          <w:rFonts w:asciiTheme="minorHAnsi" w:hAnsiTheme="minorHAnsi" w:cs="Calibri"/>
          <w:sz w:val="20"/>
          <w:szCs w:val="20"/>
          <w:lang w:val="en-AU"/>
        </w:rPr>
        <w:t>Unive</w:t>
      </w:r>
      <w:r w:rsidR="00C06E58">
        <w:rPr>
          <w:rFonts w:asciiTheme="minorHAnsi" w:hAnsiTheme="minorHAnsi" w:cs="Calibri"/>
          <w:sz w:val="20"/>
          <w:szCs w:val="20"/>
          <w:lang w:val="en-AU"/>
        </w:rPr>
        <w:t>rsity Hospital Motol</w:t>
      </w:r>
      <w:bookmarkStart w:id="0" w:name="_GoBack"/>
      <w:bookmarkEnd w:id="0"/>
      <w:r w:rsidR="00940F24" w:rsidRPr="009821A1">
        <w:rPr>
          <w:rFonts w:asciiTheme="minorHAnsi" w:hAnsiTheme="minorHAnsi" w:cs="Calibri"/>
          <w:sz w:val="20"/>
          <w:szCs w:val="20"/>
          <w:lang w:val="en-AU"/>
        </w:rPr>
        <w:t xml:space="preserve">, </w:t>
      </w:r>
      <w:r w:rsidR="00294633" w:rsidRPr="009821A1">
        <w:rPr>
          <w:rFonts w:asciiTheme="minorHAnsi" w:hAnsiTheme="minorHAnsi" w:cs="Calibri"/>
          <w:sz w:val="20"/>
          <w:szCs w:val="20"/>
          <w:lang w:val="en-AU"/>
        </w:rPr>
        <w:t>2</w:t>
      </w:r>
      <w:r w:rsidR="00294633" w:rsidRPr="009821A1">
        <w:rPr>
          <w:rFonts w:asciiTheme="minorHAnsi" w:hAnsiTheme="minorHAnsi" w:cs="Calibri"/>
          <w:sz w:val="20"/>
          <w:szCs w:val="20"/>
          <w:vertAlign w:val="superscript"/>
          <w:lang w:val="en-AU"/>
        </w:rPr>
        <w:t>nd</w:t>
      </w:r>
      <w:r w:rsidR="00EA7A99">
        <w:rPr>
          <w:rFonts w:asciiTheme="minorHAnsi" w:hAnsiTheme="minorHAnsi" w:cs="Calibri"/>
          <w:sz w:val="20"/>
          <w:szCs w:val="20"/>
          <w:lang w:val="en-AU"/>
        </w:rPr>
        <w:t xml:space="preserve"> Medical S</w:t>
      </w:r>
      <w:r w:rsidR="00294633" w:rsidRPr="009821A1">
        <w:rPr>
          <w:rFonts w:asciiTheme="minorHAnsi" w:hAnsiTheme="minorHAnsi" w:cs="Calibri"/>
          <w:sz w:val="20"/>
          <w:szCs w:val="20"/>
          <w:lang w:val="en-AU"/>
        </w:rPr>
        <w:t>choo</w:t>
      </w:r>
      <w:r w:rsidR="00940F24" w:rsidRPr="009821A1">
        <w:rPr>
          <w:rFonts w:asciiTheme="minorHAnsi" w:hAnsiTheme="minorHAnsi" w:cs="Calibri"/>
          <w:sz w:val="20"/>
          <w:szCs w:val="20"/>
          <w:lang w:val="en-AU"/>
        </w:rPr>
        <w:t xml:space="preserve">l, Charles University, Prague, CZ. </w:t>
      </w:r>
      <w:r w:rsidRPr="009821A1">
        <w:rPr>
          <w:rFonts w:asciiTheme="minorHAnsi" w:hAnsiTheme="minorHAnsi" w:cs="Calibri"/>
          <w:sz w:val="20"/>
          <w:szCs w:val="20"/>
          <w:lang w:val="en-AU"/>
        </w:rPr>
        <w:t xml:space="preserve"> </w:t>
      </w:r>
    </w:p>
    <w:p w:rsidR="00AE2173" w:rsidRPr="009821A1" w:rsidRDefault="00AE2173" w:rsidP="00AE2173">
      <w:pPr>
        <w:pStyle w:val="Default"/>
        <w:jc w:val="both"/>
        <w:rPr>
          <w:rFonts w:asciiTheme="minorHAnsi" w:hAnsiTheme="minorHAnsi"/>
          <w:color w:val="auto"/>
          <w:sz w:val="20"/>
          <w:szCs w:val="20"/>
          <w:lang w:val="en-AU"/>
        </w:rPr>
      </w:pPr>
      <w:r w:rsidRPr="009821A1">
        <w:rPr>
          <w:rFonts w:asciiTheme="minorHAnsi" w:hAnsiTheme="minorHAnsi"/>
          <w:i/>
          <w:color w:val="auto"/>
          <w:sz w:val="20"/>
          <w:szCs w:val="20"/>
        </w:rPr>
        <w:t xml:space="preserve"> </w:t>
      </w:r>
    </w:p>
    <w:p w:rsidR="00DC5AE2" w:rsidRDefault="00AE2173" w:rsidP="00294633">
      <w:pPr>
        <w:rPr>
          <w:rFonts w:asciiTheme="minorHAnsi" w:hAnsiTheme="minorHAnsi"/>
          <w:sz w:val="20"/>
          <w:szCs w:val="20"/>
        </w:rPr>
      </w:pPr>
      <w:r w:rsidRPr="009821A1">
        <w:rPr>
          <w:rFonts w:asciiTheme="minorHAnsi" w:hAnsiTheme="minorHAnsi" w:cs="Calibri"/>
          <w:b/>
          <w:bCs/>
          <w:sz w:val="20"/>
          <w:szCs w:val="20"/>
          <w:lang w:val="en-AU"/>
        </w:rPr>
        <w:t>Introduction.</w:t>
      </w:r>
      <w:r w:rsidR="0058719A" w:rsidRPr="009821A1">
        <w:rPr>
          <w:rFonts w:asciiTheme="minorHAnsi" w:hAnsiTheme="minorHAnsi" w:cs="Calibri"/>
          <w:sz w:val="20"/>
          <w:szCs w:val="20"/>
          <w:lang w:val="en-AU"/>
        </w:rPr>
        <w:t xml:space="preserve"> </w:t>
      </w:r>
      <w:r w:rsidR="00294633" w:rsidRPr="009821A1">
        <w:rPr>
          <w:rFonts w:asciiTheme="minorHAnsi" w:hAnsiTheme="minorHAnsi"/>
          <w:sz w:val="20"/>
          <w:szCs w:val="20"/>
        </w:rPr>
        <w:t xml:space="preserve">One of the significant progress in human medicine is </w:t>
      </w:r>
      <w:r w:rsidR="00DC5AE2" w:rsidRPr="009821A1">
        <w:rPr>
          <w:rFonts w:asciiTheme="minorHAnsi" w:hAnsiTheme="minorHAnsi"/>
          <w:sz w:val="20"/>
          <w:szCs w:val="20"/>
        </w:rPr>
        <w:t>hematopoietic</w:t>
      </w:r>
      <w:r w:rsidR="00294633" w:rsidRPr="009821A1">
        <w:rPr>
          <w:rFonts w:asciiTheme="minorHAnsi" w:hAnsiTheme="minorHAnsi"/>
          <w:sz w:val="20"/>
          <w:szCs w:val="20"/>
        </w:rPr>
        <w:t xml:space="preserve"> stem cell transplantation (HSCT). Pre-transplantation conditioning therapy is a rigorous step, where cytotoxic agents like busulfan are widely u</w:t>
      </w:r>
      <w:r w:rsidR="0058719A" w:rsidRPr="009821A1">
        <w:rPr>
          <w:rFonts w:asciiTheme="minorHAnsi" w:hAnsiTheme="minorHAnsi"/>
          <w:sz w:val="20"/>
          <w:szCs w:val="20"/>
        </w:rPr>
        <w:t xml:space="preserve">sed. However, </w:t>
      </w:r>
      <w:r w:rsidR="00294633" w:rsidRPr="009821A1">
        <w:rPr>
          <w:rFonts w:asciiTheme="minorHAnsi" w:hAnsiTheme="minorHAnsi"/>
          <w:sz w:val="20"/>
          <w:szCs w:val="20"/>
        </w:rPr>
        <w:t>busulfan-containing protocol is not without challen</w:t>
      </w:r>
      <w:r w:rsidR="0058719A" w:rsidRPr="009821A1">
        <w:rPr>
          <w:rFonts w:asciiTheme="minorHAnsi" w:hAnsiTheme="minorHAnsi"/>
          <w:sz w:val="20"/>
          <w:szCs w:val="20"/>
        </w:rPr>
        <w:t>ges</w:t>
      </w:r>
      <w:r w:rsidR="00CF4E6D">
        <w:rPr>
          <w:rFonts w:asciiTheme="minorHAnsi" w:hAnsiTheme="minorHAnsi"/>
          <w:sz w:val="20"/>
          <w:szCs w:val="20"/>
        </w:rPr>
        <w:t xml:space="preserve">, because </w:t>
      </w:r>
      <w:r w:rsidR="00DC5AE2">
        <w:rPr>
          <w:rFonts w:asciiTheme="minorHAnsi" w:hAnsiTheme="minorHAnsi"/>
          <w:sz w:val="20"/>
          <w:szCs w:val="20"/>
        </w:rPr>
        <w:t>under exposure or</w:t>
      </w:r>
      <w:r w:rsidR="00294633" w:rsidRPr="009821A1">
        <w:rPr>
          <w:rFonts w:asciiTheme="minorHAnsi" w:hAnsiTheme="minorHAnsi"/>
          <w:sz w:val="20"/>
          <w:szCs w:val="20"/>
        </w:rPr>
        <w:t xml:space="preserve"> over exposure</w:t>
      </w:r>
      <w:r w:rsidR="0058719A" w:rsidRPr="009821A1">
        <w:rPr>
          <w:rFonts w:asciiTheme="minorHAnsi" w:hAnsiTheme="minorHAnsi"/>
          <w:sz w:val="20"/>
          <w:szCs w:val="20"/>
        </w:rPr>
        <w:t xml:space="preserve"> can </w:t>
      </w:r>
      <w:r w:rsidR="00CF4E6D">
        <w:rPr>
          <w:rFonts w:asciiTheme="minorHAnsi" w:hAnsiTheme="minorHAnsi"/>
          <w:sz w:val="20"/>
          <w:szCs w:val="20"/>
        </w:rPr>
        <w:t>influence</w:t>
      </w:r>
      <w:r w:rsidR="00DC5AE2" w:rsidRPr="009821A1">
        <w:rPr>
          <w:rFonts w:asciiTheme="minorHAnsi" w:hAnsiTheme="minorHAnsi"/>
          <w:sz w:val="20"/>
          <w:szCs w:val="20"/>
        </w:rPr>
        <w:t xml:space="preserve"> overall</w:t>
      </w:r>
      <w:r w:rsidR="00294633" w:rsidRPr="009821A1">
        <w:rPr>
          <w:rFonts w:asciiTheme="minorHAnsi" w:hAnsiTheme="minorHAnsi"/>
          <w:sz w:val="20"/>
          <w:szCs w:val="20"/>
        </w:rPr>
        <w:t xml:space="preserve"> outcomes. </w:t>
      </w:r>
    </w:p>
    <w:p w:rsidR="00DC5AE2" w:rsidRPr="009821A1" w:rsidRDefault="00DC5AE2" w:rsidP="00DC5AE2">
      <w:pPr>
        <w:jc w:val="both"/>
        <w:rPr>
          <w:rFonts w:asciiTheme="minorHAnsi" w:hAnsiTheme="minorHAnsi" w:cs="Calibri"/>
          <w:sz w:val="20"/>
          <w:szCs w:val="20"/>
          <w:lang w:val="en-AU"/>
        </w:rPr>
      </w:pPr>
      <w:r w:rsidRPr="009821A1">
        <w:rPr>
          <w:rFonts w:asciiTheme="minorHAnsi" w:hAnsiTheme="minorHAnsi" w:cs="Calibri"/>
          <w:b/>
          <w:bCs/>
          <w:sz w:val="20"/>
          <w:szCs w:val="20"/>
          <w:lang w:val="en-AU"/>
        </w:rPr>
        <w:t>Aims</w:t>
      </w:r>
      <w:r w:rsidRPr="009821A1">
        <w:rPr>
          <w:rFonts w:asciiTheme="minorHAnsi" w:hAnsiTheme="minorHAnsi" w:cs="Calibri"/>
          <w:sz w:val="20"/>
          <w:szCs w:val="20"/>
          <w:lang w:val="en-AU"/>
        </w:rPr>
        <w:t xml:space="preserve">. </w:t>
      </w:r>
      <w:r>
        <w:rPr>
          <w:rFonts w:asciiTheme="minorHAnsi" w:hAnsiTheme="minorHAnsi"/>
          <w:sz w:val="20"/>
          <w:szCs w:val="20"/>
        </w:rPr>
        <w:t>The objective</w:t>
      </w:r>
      <w:r w:rsidRPr="009821A1">
        <w:rPr>
          <w:rFonts w:asciiTheme="minorHAnsi" w:hAnsiTheme="minorHAnsi"/>
          <w:sz w:val="20"/>
          <w:szCs w:val="20"/>
        </w:rPr>
        <w:t xml:space="preserve"> of this contribution is to demonstrate that the use of first dose for cumulative exposure pr</w:t>
      </w:r>
      <w:r>
        <w:rPr>
          <w:rFonts w:asciiTheme="minorHAnsi" w:hAnsiTheme="minorHAnsi"/>
          <w:sz w:val="20"/>
          <w:szCs w:val="20"/>
        </w:rPr>
        <w:t>ediction of busulfan is not reli</w:t>
      </w:r>
      <w:r w:rsidRPr="009821A1">
        <w:rPr>
          <w:rFonts w:asciiTheme="minorHAnsi" w:hAnsiTheme="minorHAnsi"/>
          <w:sz w:val="20"/>
          <w:szCs w:val="20"/>
        </w:rPr>
        <w:t>able indicating the vital necessity of further monitoring of exposure in-between doses especially in pediatric patients expressing significant variability</w:t>
      </w:r>
    </w:p>
    <w:p w:rsidR="00DC5AE2" w:rsidRDefault="00DC5AE2" w:rsidP="00DC5AE2">
      <w:pPr>
        <w:rPr>
          <w:rFonts w:asciiTheme="minorHAnsi" w:hAnsiTheme="minorHAnsi"/>
          <w:bCs/>
          <w:sz w:val="20"/>
          <w:szCs w:val="20"/>
        </w:rPr>
      </w:pPr>
      <w:r w:rsidRPr="009821A1">
        <w:rPr>
          <w:rFonts w:asciiTheme="minorHAnsi" w:hAnsiTheme="minorHAnsi" w:cs="Calibri"/>
          <w:b/>
          <w:bCs/>
          <w:sz w:val="20"/>
          <w:szCs w:val="20"/>
          <w:lang w:val="en-AU"/>
        </w:rPr>
        <w:t>Methods</w:t>
      </w:r>
      <w:r w:rsidRPr="009821A1">
        <w:rPr>
          <w:rFonts w:asciiTheme="minorHAnsi" w:hAnsiTheme="minorHAnsi" w:cs="Calibri"/>
          <w:sz w:val="20"/>
          <w:szCs w:val="20"/>
          <w:lang w:val="en-AU"/>
        </w:rPr>
        <w:t xml:space="preserve">. </w:t>
      </w:r>
      <w:r w:rsidRPr="009821A1">
        <w:rPr>
          <w:rFonts w:asciiTheme="minorHAnsi" w:hAnsiTheme="minorHAnsi"/>
          <w:bCs/>
          <w:sz w:val="20"/>
          <w:szCs w:val="20"/>
        </w:rPr>
        <w:t xml:space="preserve">Seven </w:t>
      </w:r>
      <w:r w:rsidR="00211417">
        <w:rPr>
          <w:rFonts w:asciiTheme="minorHAnsi" w:hAnsiTheme="minorHAnsi"/>
          <w:bCs/>
          <w:sz w:val="20"/>
          <w:szCs w:val="20"/>
        </w:rPr>
        <w:t xml:space="preserve">pediatric </w:t>
      </w:r>
      <w:r w:rsidRPr="009821A1">
        <w:rPr>
          <w:rFonts w:asciiTheme="minorHAnsi" w:hAnsiTheme="minorHAnsi"/>
          <w:bCs/>
          <w:sz w:val="20"/>
          <w:szCs w:val="20"/>
        </w:rPr>
        <w:t>patients</w:t>
      </w:r>
      <w:r w:rsidR="001D43BC">
        <w:rPr>
          <w:rFonts w:asciiTheme="minorHAnsi" w:hAnsiTheme="minorHAnsi"/>
          <w:bCs/>
          <w:sz w:val="20"/>
          <w:szCs w:val="20"/>
        </w:rPr>
        <w:t xml:space="preserve">, who used the first dose </w:t>
      </w:r>
      <w:r w:rsidRPr="009821A1">
        <w:rPr>
          <w:rFonts w:asciiTheme="minorHAnsi" w:hAnsiTheme="minorHAnsi"/>
          <w:bCs/>
          <w:sz w:val="20"/>
          <w:szCs w:val="20"/>
        </w:rPr>
        <w:t>of mg/</w:t>
      </w:r>
      <w:r w:rsidR="001D43BC" w:rsidRPr="009821A1">
        <w:rPr>
          <w:rFonts w:asciiTheme="minorHAnsi" w:hAnsiTheme="minorHAnsi"/>
          <w:bCs/>
          <w:sz w:val="20"/>
          <w:szCs w:val="20"/>
        </w:rPr>
        <w:t>kg defined</w:t>
      </w:r>
      <w:r w:rsidRPr="009821A1">
        <w:rPr>
          <w:rFonts w:asciiTheme="minorHAnsi" w:hAnsiTheme="minorHAnsi"/>
          <w:bCs/>
          <w:sz w:val="20"/>
          <w:szCs w:val="20"/>
        </w:rPr>
        <w:t xml:space="preserve"> busulfan dose</w:t>
      </w:r>
      <w:r w:rsidR="001D43BC">
        <w:rPr>
          <w:rFonts w:asciiTheme="minorHAnsi" w:hAnsiTheme="minorHAnsi"/>
          <w:bCs/>
          <w:sz w:val="20"/>
          <w:szCs w:val="20"/>
        </w:rPr>
        <w:t>s /6hr</w:t>
      </w:r>
      <w:r w:rsidRPr="009821A1">
        <w:rPr>
          <w:rFonts w:asciiTheme="minorHAnsi" w:hAnsiTheme="minorHAnsi"/>
          <w:bCs/>
          <w:sz w:val="20"/>
          <w:szCs w:val="20"/>
        </w:rPr>
        <w:t xml:space="preserve"> as con</w:t>
      </w:r>
      <w:r w:rsidR="001D43BC">
        <w:rPr>
          <w:rFonts w:asciiTheme="minorHAnsi" w:hAnsiTheme="minorHAnsi"/>
          <w:bCs/>
          <w:sz w:val="20"/>
          <w:szCs w:val="20"/>
        </w:rPr>
        <w:t>ditioning therapy were included. Six</w:t>
      </w:r>
      <w:r w:rsidRPr="009821A1">
        <w:rPr>
          <w:rFonts w:asciiTheme="minorHAnsi" w:hAnsiTheme="minorHAnsi"/>
          <w:bCs/>
          <w:sz w:val="20"/>
          <w:szCs w:val="20"/>
        </w:rPr>
        <w:t xml:space="preserve"> serial blood samples were collected in all subjects to </w:t>
      </w:r>
      <w:r w:rsidR="001D43BC" w:rsidRPr="009821A1">
        <w:rPr>
          <w:rFonts w:asciiTheme="minorHAnsi" w:hAnsiTheme="minorHAnsi"/>
          <w:bCs/>
          <w:sz w:val="20"/>
          <w:szCs w:val="20"/>
        </w:rPr>
        <w:t>determine</w:t>
      </w:r>
      <w:r w:rsidR="00811D0B">
        <w:rPr>
          <w:rFonts w:asciiTheme="minorHAnsi" w:hAnsiTheme="minorHAnsi"/>
          <w:bCs/>
          <w:sz w:val="20"/>
          <w:szCs w:val="20"/>
        </w:rPr>
        <w:t xml:space="preserve"> </w:t>
      </w:r>
      <w:r w:rsidR="00811D0B" w:rsidRPr="009821A1">
        <w:rPr>
          <w:rFonts w:asciiTheme="minorHAnsi" w:hAnsiTheme="minorHAnsi"/>
          <w:bCs/>
          <w:sz w:val="20"/>
          <w:szCs w:val="20"/>
        </w:rPr>
        <w:t>plasma concentration</w:t>
      </w:r>
      <w:r w:rsidR="00811D0B">
        <w:rPr>
          <w:rFonts w:asciiTheme="minorHAnsi" w:hAnsiTheme="minorHAnsi"/>
          <w:bCs/>
          <w:sz w:val="20"/>
          <w:szCs w:val="20"/>
        </w:rPr>
        <w:t>s and resulting</w:t>
      </w:r>
      <w:r w:rsidR="00811D0B" w:rsidRPr="009821A1">
        <w:rPr>
          <w:rFonts w:asciiTheme="minorHAnsi" w:hAnsiTheme="minorHAnsi"/>
          <w:bCs/>
          <w:sz w:val="20"/>
          <w:szCs w:val="20"/>
        </w:rPr>
        <w:t xml:space="preserve"> </w:t>
      </w:r>
      <w:r w:rsidR="00811D0B">
        <w:rPr>
          <w:rFonts w:asciiTheme="minorHAnsi" w:hAnsiTheme="minorHAnsi"/>
          <w:bCs/>
          <w:sz w:val="20"/>
          <w:szCs w:val="20"/>
        </w:rPr>
        <w:t>area under the curve (AUC)</w:t>
      </w:r>
      <w:r w:rsidRPr="009821A1">
        <w:rPr>
          <w:rFonts w:asciiTheme="minorHAnsi" w:hAnsiTheme="minorHAnsi"/>
          <w:bCs/>
          <w:sz w:val="20"/>
          <w:szCs w:val="20"/>
        </w:rPr>
        <w:t xml:space="preserve">. LC/MS was used for busulfan plasma level determination and doses were adjusted based AUC calculated from 6 blood samples collected at 0 </w:t>
      </w:r>
      <w:r w:rsidR="001D43BC">
        <w:rPr>
          <w:rFonts w:asciiTheme="minorHAnsi" w:hAnsiTheme="minorHAnsi"/>
          <w:bCs/>
          <w:sz w:val="20"/>
          <w:szCs w:val="20"/>
        </w:rPr>
        <w:t>,</w:t>
      </w:r>
      <w:r w:rsidRPr="009821A1">
        <w:rPr>
          <w:rFonts w:asciiTheme="minorHAnsi" w:hAnsiTheme="minorHAnsi"/>
          <w:bCs/>
          <w:sz w:val="20"/>
          <w:szCs w:val="20"/>
        </w:rPr>
        <w:t xml:space="preserve">15 </w:t>
      </w:r>
      <w:r w:rsidR="001D43BC">
        <w:rPr>
          <w:rFonts w:asciiTheme="minorHAnsi" w:hAnsiTheme="minorHAnsi"/>
          <w:bCs/>
          <w:sz w:val="20"/>
          <w:szCs w:val="20"/>
        </w:rPr>
        <w:t xml:space="preserve">min, </w:t>
      </w:r>
      <w:r w:rsidRPr="009821A1">
        <w:rPr>
          <w:rFonts w:asciiTheme="minorHAnsi" w:hAnsiTheme="minorHAnsi"/>
          <w:bCs/>
          <w:sz w:val="20"/>
          <w:szCs w:val="20"/>
        </w:rPr>
        <w:t>30 min</w:t>
      </w:r>
      <w:r w:rsidR="001D43BC">
        <w:rPr>
          <w:rFonts w:asciiTheme="minorHAnsi" w:hAnsiTheme="minorHAnsi"/>
          <w:bCs/>
          <w:sz w:val="20"/>
          <w:szCs w:val="20"/>
        </w:rPr>
        <w:t>,</w:t>
      </w:r>
      <w:r w:rsidRPr="009821A1">
        <w:rPr>
          <w:rFonts w:asciiTheme="minorHAnsi" w:hAnsiTheme="minorHAnsi"/>
          <w:bCs/>
          <w:sz w:val="20"/>
          <w:szCs w:val="20"/>
        </w:rPr>
        <w:t> 3hr</w:t>
      </w:r>
      <w:r w:rsidR="001D43BC">
        <w:rPr>
          <w:rFonts w:asciiTheme="minorHAnsi" w:hAnsiTheme="minorHAnsi"/>
          <w:bCs/>
          <w:sz w:val="20"/>
          <w:szCs w:val="20"/>
        </w:rPr>
        <w:t xml:space="preserve">, </w:t>
      </w:r>
      <w:r w:rsidRPr="009821A1">
        <w:rPr>
          <w:rFonts w:asciiTheme="minorHAnsi" w:hAnsiTheme="minorHAnsi"/>
          <w:bCs/>
          <w:sz w:val="20"/>
          <w:szCs w:val="20"/>
        </w:rPr>
        <w:t xml:space="preserve"> 4hr and 6hr  after first dose and trough , immediately after 2</w:t>
      </w:r>
      <w:r w:rsidR="001D43BC">
        <w:rPr>
          <w:rFonts w:asciiTheme="minorHAnsi" w:hAnsiTheme="minorHAnsi"/>
          <w:bCs/>
          <w:sz w:val="20"/>
          <w:szCs w:val="20"/>
        </w:rPr>
        <w:t xml:space="preserve">hour </w:t>
      </w:r>
      <w:r w:rsidRPr="009821A1">
        <w:rPr>
          <w:rFonts w:asciiTheme="minorHAnsi" w:hAnsiTheme="minorHAnsi"/>
          <w:bCs/>
          <w:sz w:val="20"/>
          <w:szCs w:val="20"/>
        </w:rPr>
        <w:t xml:space="preserve"> infusion , 2 a</w:t>
      </w:r>
      <w:r w:rsidR="001D43BC">
        <w:rPr>
          <w:rFonts w:asciiTheme="minorHAnsi" w:hAnsiTheme="minorHAnsi"/>
          <w:bCs/>
          <w:sz w:val="20"/>
          <w:szCs w:val="20"/>
        </w:rPr>
        <w:t>nd  4 hours post infusion  of</w:t>
      </w:r>
      <w:r w:rsidRPr="009821A1">
        <w:rPr>
          <w:rFonts w:asciiTheme="minorHAnsi" w:hAnsiTheme="minorHAnsi"/>
          <w:bCs/>
          <w:sz w:val="20"/>
          <w:szCs w:val="20"/>
        </w:rPr>
        <w:t xml:space="preserve"> the fifth dose respectively. AUC was calculated </w:t>
      </w:r>
      <w:r w:rsidR="001D43BC">
        <w:rPr>
          <w:rFonts w:asciiTheme="minorHAnsi" w:hAnsiTheme="minorHAnsi"/>
          <w:bCs/>
          <w:sz w:val="20"/>
          <w:szCs w:val="20"/>
        </w:rPr>
        <w:t xml:space="preserve">using trapezoidal rule aiming </w:t>
      </w:r>
      <w:r w:rsidR="00811D0B">
        <w:rPr>
          <w:rFonts w:asciiTheme="minorHAnsi" w:hAnsiTheme="minorHAnsi"/>
          <w:bCs/>
          <w:sz w:val="20"/>
          <w:szCs w:val="20"/>
        </w:rPr>
        <w:t xml:space="preserve">recommended cumulative AUC </w:t>
      </w:r>
      <w:r w:rsidR="001D43BC">
        <w:rPr>
          <w:rFonts w:asciiTheme="minorHAnsi" w:hAnsiTheme="minorHAnsi"/>
          <w:bCs/>
          <w:sz w:val="20"/>
          <w:szCs w:val="20"/>
        </w:rPr>
        <w:t>78-101 mg/L*hr.</w:t>
      </w:r>
    </w:p>
    <w:p w:rsidR="00DC5AE2" w:rsidRPr="00DC5AE2" w:rsidRDefault="00DC5AE2" w:rsidP="00DC5AE2">
      <w:pPr>
        <w:jc w:val="both"/>
        <w:rPr>
          <w:rFonts w:asciiTheme="minorHAnsi" w:hAnsiTheme="minorHAnsi" w:cs="Calibri"/>
          <w:sz w:val="20"/>
          <w:szCs w:val="20"/>
          <w:lang w:val="en-AU"/>
        </w:rPr>
      </w:pPr>
      <w:r w:rsidRPr="009821A1">
        <w:rPr>
          <w:rFonts w:asciiTheme="minorHAnsi" w:hAnsiTheme="minorHAnsi" w:cs="Calibri"/>
          <w:b/>
          <w:bCs/>
          <w:sz w:val="20"/>
          <w:szCs w:val="20"/>
          <w:lang w:val="en-AU"/>
        </w:rPr>
        <w:t>Results.</w:t>
      </w:r>
      <w:r w:rsidRPr="009821A1">
        <w:rPr>
          <w:rFonts w:asciiTheme="minorHAnsi" w:hAnsiTheme="minorHAnsi" w:cs="Calibri"/>
          <w:sz w:val="20"/>
          <w:szCs w:val="20"/>
          <w:lang w:val="en-AU"/>
        </w:rPr>
        <w:t xml:space="preserve"> </w:t>
      </w:r>
      <w:r w:rsidRPr="009821A1">
        <w:rPr>
          <w:rFonts w:asciiTheme="minorHAnsi" w:hAnsiTheme="minorHAnsi"/>
          <w:bCs/>
          <w:sz w:val="20"/>
          <w:szCs w:val="20"/>
        </w:rPr>
        <w:t xml:space="preserve">All patients needed less dose by 8-40 % (median 24%) than predicted based on first dose monitoring. Steady state concentrations were </w:t>
      </w:r>
      <w:r>
        <w:rPr>
          <w:rFonts w:asciiTheme="minorHAnsi" w:hAnsiTheme="minorHAnsi"/>
          <w:bCs/>
          <w:sz w:val="20"/>
          <w:szCs w:val="20"/>
        </w:rPr>
        <w:t>reli</w:t>
      </w:r>
      <w:r w:rsidRPr="009821A1">
        <w:rPr>
          <w:rFonts w:asciiTheme="minorHAnsi" w:hAnsiTheme="minorHAnsi"/>
          <w:bCs/>
          <w:sz w:val="20"/>
          <w:szCs w:val="20"/>
        </w:rPr>
        <w:t>able and enough to predict target exposure based on post forth dose monitoring</w:t>
      </w:r>
      <w:r w:rsidR="007A42FA">
        <w:rPr>
          <w:rFonts w:asciiTheme="minorHAnsi" w:hAnsiTheme="minorHAnsi"/>
          <w:bCs/>
          <w:sz w:val="20"/>
          <w:szCs w:val="20"/>
        </w:rPr>
        <w:t xml:space="preserve"> (Fig1.)</w:t>
      </w:r>
      <w:r w:rsidRPr="009821A1">
        <w:rPr>
          <w:rFonts w:asciiTheme="minorHAnsi" w:hAnsiTheme="minorHAnsi"/>
          <w:bCs/>
          <w:sz w:val="20"/>
          <w:szCs w:val="20"/>
        </w:rPr>
        <w:t xml:space="preserve">, </w:t>
      </w:r>
      <w:r w:rsidR="007A42FA">
        <w:rPr>
          <w:rFonts w:asciiTheme="minorHAnsi" w:hAnsiTheme="minorHAnsi"/>
          <w:bCs/>
          <w:sz w:val="20"/>
          <w:szCs w:val="20"/>
        </w:rPr>
        <w:t xml:space="preserve">indicating that </w:t>
      </w:r>
      <w:r w:rsidR="004F1B20">
        <w:rPr>
          <w:rFonts w:asciiTheme="minorHAnsi" w:hAnsiTheme="minorHAnsi"/>
          <w:bCs/>
          <w:sz w:val="20"/>
          <w:szCs w:val="20"/>
        </w:rPr>
        <w:t xml:space="preserve">concentrations </w:t>
      </w:r>
      <w:r w:rsidRPr="009821A1">
        <w:rPr>
          <w:rFonts w:asciiTheme="minorHAnsi" w:hAnsiTheme="minorHAnsi"/>
          <w:bCs/>
          <w:sz w:val="20"/>
          <w:szCs w:val="20"/>
        </w:rPr>
        <w:t xml:space="preserve">immediately after the first dose </w:t>
      </w:r>
      <w:r w:rsidR="004F1B20">
        <w:rPr>
          <w:rFonts w:asciiTheme="minorHAnsi" w:hAnsiTheme="minorHAnsi"/>
          <w:bCs/>
          <w:sz w:val="20"/>
          <w:szCs w:val="20"/>
        </w:rPr>
        <w:t>may mislead</w:t>
      </w:r>
      <w:r w:rsidRPr="009821A1">
        <w:rPr>
          <w:rFonts w:asciiTheme="minorHAnsi" w:hAnsiTheme="minorHAnsi"/>
          <w:bCs/>
          <w:sz w:val="20"/>
          <w:szCs w:val="20"/>
        </w:rPr>
        <w:t xml:space="preserve"> dose adjustment</w:t>
      </w:r>
      <w:r w:rsidR="004F1B20">
        <w:rPr>
          <w:rFonts w:asciiTheme="minorHAnsi" w:hAnsiTheme="minorHAnsi"/>
          <w:bCs/>
          <w:sz w:val="20"/>
          <w:szCs w:val="20"/>
        </w:rPr>
        <w:t xml:space="preserve">. </w:t>
      </w:r>
    </w:p>
    <w:p w:rsidR="00294633" w:rsidRPr="009821A1" w:rsidRDefault="00294633" w:rsidP="00294633">
      <w:pPr>
        <w:rPr>
          <w:rFonts w:asciiTheme="minorHAnsi" w:hAnsiTheme="minorHAnsi"/>
          <w:bCs/>
          <w:sz w:val="20"/>
          <w:szCs w:val="20"/>
        </w:rPr>
      </w:pPr>
      <w:r w:rsidRPr="009821A1">
        <w:rPr>
          <w:rFonts w:asciiTheme="minorHAnsi" w:hAnsiTheme="minorHAnsi"/>
          <w:noProof/>
          <w:sz w:val="20"/>
          <w:szCs w:val="20"/>
          <w:lang w:val="cs-CZ" w:eastAsia="cs-CZ"/>
        </w:rPr>
        <w:drawing>
          <wp:inline distT="0" distB="0" distL="0" distR="0" wp14:anchorId="4BB05A96" wp14:editId="478FF852">
            <wp:extent cx="5349600" cy="2792730"/>
            <wp:effectExtent l="0" t="0" r="3810" b="762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2177C6" w:rsidRPr="009821A1" w:rsidRDefault="00DC5AE2" w:rsidP="009821A1">
      <w:pPr>
        <w:jc w:val="both"/>
        <w:rPr>
          <w:rFonts w:asciiTheme="minorHAnsi" w:hAnsiTheme="minorHAnsi" w:cs="Calibri"/>
          <w:sz w:val="20"/>
          <w:szCs w:val="20"/>
          <w:lang w:val="en-AU"/>
        </w:rPr>
      </w:pPr>
      <w:r w:rsidRPr="009821A1">
        <w:rPr>
          <w:rFonts w:asciiTheme="minorHAnsi" w:hAnsiTheme="minorHAnsi" w:cs="Calibri"/>
          <w:b/>
          <w:bCs/>
          <w:sz w:val="20"/>
          <w:szCs w:val="20"/>
          <w:lang w:val="en-AU"/>
        </w:rPr>
        <w:t>Conclusions</w:t>
      </w:r>
      <w:r w:rsidR="00AE2173" w:rsidRPr="009821A1">
        <w:rPr>
          <w:rFonts w:asciiTheme="minorHAnsi" w:hAnsiTheme="minorHAnsi" w:cs="Calibri"/>
          <w:b/>
          <w:bCs/>
          <w:sz w:val="20"/>
          <w:szCs w:val="20"/>
          <w:lang w:val="en-AU"/>
        </w:rPr>
        <w:t>.</w:t>
      </w:r>
      <w:r w:rsidR="00AE2173" w:rsidRPr="009821A1">
        <w:rPr>
          <w:rFonts w:asciiTheme="minorHAnsi" w:hAnsiTheme="minorHAnsi" w:cs="Calibri"/>
          <w:sz w:val="20"/>
          <w:szCs w:val="20"/>
          <w:lang w:val="en-AU"/>
        </w:rPr>
        <w:t xml:space="preserve"> </w:t>
      </w:r>
      <w:r w:rsidR="00294633" w:rsidRPr="009821A1">
        <w:rPr>
          <w:rFonts w:asciiTheme="minorHAnsi" w:hAnsiTheme="minorHAnsi"/>
          <w:bCs/>
          <w:sz w:val="20"/>
          <w:szCs w:val="20"/>
        </w:rPr>
        <w:t>High variability in pharmacokinetic parameters were</w:t>
      </w:r>
      <w:r w:rsidR="0094174A">
        <w:rPr>
          <w:rFonts w:asciiTheme="minorHAnsi" w:hAnsiTheme="minorHAnsi"/>
          <w:bCs/>
          <w:sz w:val="20"/>
          <w:szCs w:val="20"/>
        </w:rPr>
        <w:t xml:space="preserve"> evident</w:t>
      </w:r>
      <w:r w:rsidR="00294633" w:rsidRPr="009821A1">
        <w:rPr>
          <w:rFonts w:asciiTheme="minorHAnsi" w:hAnsiTheme="minorHAnsi"/>
          <w:bCs/>
          <w:sz w:val="20"/>
          <w:szCs w:val="20"/>
        </w:rPr>
        <w:t xml:space="preserve">, with significant difference between first dose predication and post forth dose prediction for cumulative AUC </w:t>
      </w:r>
      <w:r w:rsidR="007D171A">
        <w:rPr>
          <w:rFonts w:asciiTheme="minorHAnsi" w:hAnsiTheme="minorHAnsi"/>
          <w:bCs/>
          <w:sz w:val="20"/>
          <w:szCs w:val="20"/>
        </w:rPr>
        <w:t>target achievement</w:t>
      </w:r>
      <w:r w:rsidR="00294633" w:rsidRPr="009821A1">
        <w:rPr>
          <w:rFonts w:asciiTheme="minorHAnsi" w:hAnsiTheme="minorHAnsi"/>
          <w:bCs/>
          <w:sz w:val="20"/>
          <w:szCs w:val="20"/>
        </w:rPr>
        <w:t xml:space="preserve">. The clearance overestimated during the first dose is finally shifting towards drug accumulation after multiple doses suggesting later monitoring for better safety and efficacy. Although being preliminary with only limited number of patients our results clearly indicate necessity of monitoring later than relying on first dose </w:t>
      </w:r>
      <w:r w:rsidR="007D171A">
        <w:rPr>
          <w:rFonts w:asciiTheme="minorHAnsi" w:hAnsiTheme="minorHAnsi"/>
          <w:bCs/>
          <w:sz w:val="20"/>
          <w:szCs w:val="20"/>
        </w:rPr>
        <w:t xml:space="preserve">test </w:t>
      </w:r>
      <w:r w:rsidR="00294633" w:rsidRPr="009821A1">
        <w:rPr>
          <w:rFonts w:asciiTheme="minorHAnsi" w:hAnsiTheme="minorHAnsi"/>
          <w:bCs/>
          <w:sz w:val="20"/>
          <w:szCs w:val="20"/>
        </w:rPr>
        <w:t>results</w:t>
      </w:r>
      <w:r w:rsidR="007D171A">
        <w:rPr>
          <w:rFonts w:asciiTheme="minorHAnsi" w:hAnsiTheme="minorHAnsi"/>
          <w:bCs/>
          <w:sz w:val="20"/>
          <w:szCs w:val="20"/>
        </w:rPr>
        <w:t>.</w:t>
      </w:r>
    </w:p>
    <w:sectPr w:rsidR="002177C6" w:rsidRPr="00982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73"/>
    <w:rsid w:val="001D43BC"/>
    <w:rsid w:val="00211417"/>
    <w:rsid w:val="002177C6"/>
    <w:rsid w:val="00294633"/>
    <w:rsid w:val="003440CC"/>
    <w:rsid w:val="004F1B20"/>
    <w:rsid w:val="0058719A"/>
    <w:rsid w:val="00592B0D"/>
    <w:rsid w:val="007A42FA"/>
    <w:rsid w:val="007D171A"/>
    <w:rsid w:val="00811D0B"/>
    <w:rsid w:val="00940F24"/>
    <w:rsid w:val="0094174A"/>
    <w:rsid w:val="009821A1"/>
    <w:rsid w:val="00A26DF1"/>
    <w:rsid w:val="00A50DD7"/>
    <w:rsid w:val="00AE2173"/>
    <w:rsid w:val="00C06E58"/>
    <w:rsid w:val="00C71CE8"/>
    <w:rsid w:val="00CF4E6D"/>
    <w:rsid w:val="00D60473"/>
    <w:rsid w:val="00DC5AE2"/>
    <w:rsid w:val="00EA7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D372"/>
  <w15:chartTrackingRefBased/>
  <w15:docId w15:val="{9120C305-8E08-45CB-BF86-2B7BBFA6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2173"/>
    <w:pPr>
      <w:spacing w:after="0" w:line="240" w:lineRule="auto"/>
    </w:pPr>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AE2173"/>
    <w:rPr>
      <w:color w:val="0563C1"/>
      <w:u w:val="single"/>
    </w:rPr>
  </w:style>
  <w:style w:type="paragraph" w:customStyle="1" w:styleId="Default">
    <w:name w:val="Default"/>
    <w:rsid w:val="00AE2173"/>
    <w:pPr>
      <w:widowControl w:val="0"/>
      <w:autoSpaceDE w:val="0"/>
      <w:autoSpaceDN w:val="0"/>
      <w:adjustRightInd w:val="0"/>
      <w:spacing w:after="0" w:line="240" w:lineRule="auto"/>
    </w:pPr>
    <w:rPr>
      <w:rFonts w:ascii="Calibri" w:eastAsia="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9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esfayeh\Documents\Buexperimentdos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cs-CZ" sz="1000" b="0" i="0" baseline="0">
                <a:effectLst/>
              </a:rPr>
              <a:t>Fig.1.Dose adjustments comparision  post 1st dose versus post 4th-5th doses  based samples derived AUC in 7 subjects (1-7)</a:t>
            </a:r>
            <a:endParaRPr lang="cs-CZ" sz="10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cs-CZ"/>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cs-CZ"/>
        </a:p>
      </c:txPr>
    </c:title>
    <c:autoTitleDeleted val="0"/>
    <c:plotArea>
      <c:layout/>
      <c:barChart>
        <c:barDir val="bar"/>
        <c:grouping val="clustered"/>
        <c:varyColors val="0"/>
        <c:ser>
          <c:idx val="0"/>
          <c:order val="0"/>
          <c:tx>
            <c:v>Dose required based on post 1st dose monitoring</c:v>
          </c:tx>
          <c:spPr>
            <a:solidFill>
              <a:schemeClr val="accent1"/>
            </a:solidFill>
            <a:ln>
              <a:noFill/>
            </a:ln>
            <a:effectLst/>
          </c:spPr>
          <c:invertIfNegative val="0"/>
          <c:val>
            <c:numRef>
              <c:f>List1!$J$3:$P$3</c:f>
              <c:numCache>
                <c:formatCode>General</c:formatCode>
                <c:ptCount val="7"/>
                <c:pt idx="0">
                  <c:v>50</c:v>
                </c:pt>
                <c:pt idx="1">
                  <c:v>60</c:v>
                </c:pt>
                <c:pt idx="2">
                  <c:v>17</c:v>
                </c:pt>
                <c:pt idx="3">
                  <c:v>33</c:v>
                </c:pt>
                <c:pt idx="4">
                  <c:v>13</c:v>
                </c:pt>
                <c:pt idx="5">
                  <c:v>149</c:v>
                </c:pt>
                <c:pt idx="6">
                  <c:v>33</c:v>
                </c:pt>
              </c:numCache>
            </c:numRef>
          </c:val>
          <c:extLst>
            <c:ext xmlns:c16="http://schemas.microsoft.com/office/drawing/2014/chart" uri="{C3380CC4-5D6E-409C-BE32-E72D297353CC}">
              <c16:uniqueId val="{00000000-511E-4ADB-99DF-5B4E8DAF1891}"/>
            </c:ext>
          </c:extLst>
        </c:ser>
        <c:ser>
          <c:idx val="1"/>
          <c:order val="1"/>
          <c:tx>
            <c:v>Dose required based on post 4-5 dose monitoring </c:v>
          </c:tx>
          <c:spPr>
            <a:solidFill>
              <a:schemeClr val="accent2"/>
            </a:solidFill>
            <a:ln>
              <a:noFill/>
            </a:ln>
            <a:effectLst/>
          </c:spPr>
          <c:invertIfNegative val="0"/>
          <c:val>
            <c:numRef>
              <c:f>List1!$J$4:$P$4</c:f>
              <c:numCache>
                <c:formatCode>General</c:formatCode>
                <c:ptCount val="7"/>
                <c:pt idx="0">
                  <c:v>46</c:v>
                </c:pt>
                <c:pt idx="1">
                  <c:v>50</c:v>
                </c:pt>
                <c:pt idx="2">
                  <c:v>13</c:v>
                </c:pt>
                <c:pt idx="3">
                  <c:v>26</c:v>
                </c:pt>
                <c:pt idx="4">
                  <c:v>10</c:v>
                </c:pt>
                <c:pt idx="5">
                  <c:v>100</c:v>
                </c:pt>
                <c:pt idx="6">
                  <c:v>20</c:v>
                </c:pt>
              </c:numCache>
            </c:numRef>
          </c:val>
          <c:extLst>
            <c:ext xmlns:c16="http://schemas.microsoft.com/office/drawing/2014/chart" uri="{C3380CC4-5D6E-409C-BE32-E72D297353CC}">
              <c16:uniqueId val="{00000001-511E-4ADB-99DF-5B4E8DAF1891}"/>
            </c:ext>
          </c:extLst>
        </c:ser>
        <c:dLbls>
          <c:showLegendKey val="0"/>
          <c:showVal val="0"/>
          <c:showCatName val="0"/>
          <c:showSerName val="0"/>
          <c:showPercent val="0"/>
          <c:showBubbleSize val="0"/>
        </c:dLbls>
        <c:gapWidth val="182"/>
        <c:axId val="335224120"/>
        <c:axId val="335224448"/>
      </c:barChart>
      <c:catAx>
        <c:axId val="335224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35224448"/>
        <c:crosses val="autoZero"/>
        <c:auto val="1"/>
        <c:lblAlgn val="ctr"/>
        <c:lblOffset val="100"/>
        <c:noMultiLvlLbl val="0"/>
      </c:catAx>
      <c:valAx>
        <c:axId val="3352244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335224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367</Words>
  <Characters>2168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Hundie Tesfaye 42314</dc:creator>
  <cp:keywords/>
  <dc:description/>
  <cp:lastModifiedBy>Hundie Tesfaye 42314</cp:lastModifiedBy>
  <cp:revision>16</cp:revision>
  <dcterms:created xsi:type="dcterms:W3CDTF">2026-01-20T11:12:00Z</dcterms:created>
  <dcterms:modified xsi:type="dcterms:W3CDTF">2026-01-21T10:35:00Z</dcterms:modified>
</cp:coreProperties>
</file>