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8EB25D" w14:textId="1D4E8ADA" w:rsidR="00203A52" w:rsidRPr="00834FC5" w:rsidRDefault="008E3383" w:rsidP="00834FC5">
      <w:pPr>
        <w:spacing w:line="240" w:lineRule="auto"/>
        <w:jc w:val="center"/>
        <w:rPr>
          <w:rFonts w:cstheme="minorHAnsi"/>
          <w:b/>
          <w:sz w:val="28"/>
          <w:szCs w:val="28"/>
          <w:lang w:val="en-GB"/>
        </w:rPr>
      </w:pPr>
      <w:r w:rsidRPr="00834FC5">
        <w:rPr>
          <w:rFonts w:cstheme="minorHAnsi"/>
          <w:b/>
          <w:sz w:val="28"/>
          <w:szCs w:val="28"/>
          <w:lang w:val="en-GB"/>
        </w:rPr>
        <w:t>Mimicking</w:t>
      </w:r>
      <w:r w:rsidR="00203A52" w:rsidRPr="00834FC5">
        <w:rPr>
          <w:rFonts w:cstheme="minorHAnsi"/>
          <w:b/>
          <w:sz w:val="28"/>
          <w:szCs w:val="28"/>
          <w:lang w:val="en-GB"/>
        </w:rPr>
        <w:t xml:space="preserve"> systemic multi-organ interactions </w:t>
      </w:r>
      <w:r w:rsidRPr="00834FC5">
        <w:rPr>
          <w:rFonts w:cstheme="minorHAnsi"/>
          <w:b/>
          <w:sz w:val="28"/>
          <w:szCs w:val="28"/>
          <w:lang w:val="en-GB"/>
        </w:rPr>
        <w:t>with microfluidics</w:t>
      </w:r>
    </w:p>
    <w:p w14:paraId="427512E8" w14:textId="0A138AA6" w:rsidR="00283642" w:rsidRPr="00834FC5" w:rsidRDefault="00283642" w:rsidP="00834FC5">
      <w:pPr>
        <w:spacing w:line="240" w:lineRule="auto"/>
        <w:jc w:val="center"/>
        <w:rPr>
          <w:rFonts w:cstheme="minorHAnsi"/>
          <w:b/>
          <w:i/>
          <w:sz w:val="24"/>
          <w:szCs w:val="24"/>
          <w:lang w:val="en-GB"/>
        </w:rPr>
      </w:pPr>
      <w:r w:rsidRPr="00834FC5">
        <w:rPr>
          <w:rFonts w:cstheme="minorHAnsi"/>
          <w:b/>
          <w:i/>
          <w:sz w:val="24"/>
          <w:szCs w:val="24"/>
          <w:lang w:val="en-GB"/>
        </w:rPr>
        <w:t xml:space="preserve">Yi-Chin </w:t>
      </w:r>
      <w:proofErr w:type="spellStart"/>
      <w:proofErr w:type="gramStart"/>
      <w:r w:rsidRPr="00834FC5">
        <w:rPr>
          <w:rFonts w:cstheme="minorHAnsi"/>
          <w:b/>
          <w:i/>
          <w:sz w:val="24"/>
          <w:szCs w:val="24"/>
          <w:lang w:val="en-GB"/>
        </w:rPr>
        <w:t>Toh</w:t>
      </w:r>
      <w:r w:rsidR="00834FC5" w:rsidRPr="00834FC5">
        <w:rPr>
          <w:rFonts w:cstheme="minorHAnsi"/>
          <w:b/>
          <w:i/>
          <w:sz w:val="24"/>
          <w:szCs w:val="24"/>
          <w:vertAlign w:val="superscript"/>
          <w:lang w:val="en-GB"/>
        </w:rPr>
        <w:t>a,b</w:t>
      </w:r>
      <w:proofErr w:type="spellEnd"/>
      <w:proofErr w:type="gramEnd"/>
    </w:p>
    <w:p w14:paraId="3ADE4A38" w14:textId="5F27AE6A" w:rsidR="00323F00" w:rsidRPr="00834FC5" w:rsidRDefault="00834FC5" w:rsidP="00834FC5">
      <w:pPr>
        <w:spacing w:after="0" w:line="240" w:lineRule="auto"/>
        <w:jc w:val="center"/>
        <w:rPr>
          <w:rFonts w:cstheme="minorHAnsi"/>
          <w:lang w:val="en-GB"/>
        </w:rPr>
      </w:pPr>
      <w:proofErr w:type="spellStart"/>
      <w:r w:rsidRPr="00834FC5">
        <w:rPr>
          <w:rFonts w:cstheme="minorHAnsi"/>
          <w:vertAlign w:val="superscript"/>
          <w:lang w:val="en-GB"/>
        </w:rPr>
        <w:t>a</w:t>
      </w:r>
      <w:r w:rsidR="00203A52" w:rsidRPr="00834FC5">
        <w:rPr>
          <w:rFonts w:cstheme="minorHAnsi"/>
          <w:lang w:val="en-GB"/>
        </w:rPr>
        <w:t>School</w:t>
      </w:r>
      <w:proofErr w:type="spellEnd"/>
      <w:r w:rsidR="00203A52" w:rsidRPr="00834FC5">
        <w:rPr>
          <w:rFonts w:cstheme="minorHAnsi"/>
          <w:lang w:val="en-GB"/>
        </w:rPr>
        <w:t xml:space="preserve"> of Chemistry, Physics and Mechanical Engineering, Queensland University of Technology</w:t>
      </w:r>
    </w:p>
    <w:p w14:paraId="7DBD9875" w14:textId="105B09BA" w:rsidR="00203A52" w:rsidRPr="00834FC5" w:rsidRDefault="00834FC5" w:rsidP="00834FC5">
      <w:pPr>
        <w:spacing w:after="0" w:line="240" w:lineRule="auto"/>
        <w:ind w:left="360"/>
        <w:jc w:val="center"/>
        <w:rPr>
          <w:rFonts w:cstheme="minorHAnsi"/>
          <w:lang w:val="en-GB"/>
        </w:rPr>
      </w:pPr>
      <w:proofErr w:type="spellStart"/>
      <w:r w:rsidRPr="00834FC5">
        <w:rPr>
          <w:rFonts w:cstheme="minorHAnsi"/>
          <w:vertAlign w:val="superscript"/>
          <w:lang w:val="en-GB"/>
        </w:rPr>
        <w:t>b</w:t>
      </w:r>
      <w:r w:rsidR="00203A52" w:rsidRPr="00834FC5">
        <w:rPr>
          <w:rFonts w:cstheme="minorHAnsi"/>
          <w:lang w:val="en-GB"/>
        </w:rPr>
        <w:t>Institute</w:t>
      </w:r>
      <w:proofErr w:type="spellEnd"/>
      <w:r w:rsidR="00203A52" w:rsidRPr="00834FC5">
        <w:rPr>
          <w:rFonts w:cstheme="minorHAnsi"/>
          <w:lang w:val="en-GB"/>
        </w:rPr>
        <w:t xml:space="preserve"> of Health and Biomedical Innovation, Queensland University of Technology</w:t>
      </w:r>
    </w:p>
    <w:p w14:paraId="7F4AC362" w14:textId="77777777" w:rsidR="00323F00" w:rsidRPr="00834FC5" w:rsidRDefault="00323F00" w:rsidP="00834FC5">
      <w:pPr>
        <w:spacing w:after="0" w:line="240" w:lineRule="auto"/>
        <w:jc w:val="center"/>
        <w:rPr>
          <w:rFonts w:cstheme="minorHAnsi"/>
          <w:lang w:val="en-GB"/>
        </w:rPr>
      </w:pPr>
    </w:p>
    <w:p w14:paraId="3C11C9EF" w14:textId="2129FAA7" w:rsidR="00E44CFD" w:rsidRDefault="008E3383" w:rsidP="00834FC5">
      <w:pPr>
        <w:spacing w:line="240" w:lineRule="auto"/>
        <w:jc w:val="both"/>
        <w:rPr>
          <w:rFonts w:cstheme="minorHAnsi"/>
          <w:lang w:val="en-GB"/>
        </w:rPr>
      </w:pPr>
      <w:r w:rsidRPr="00834FC5">
        <w:rPr>
          <w:rFonts w:cstheme="minorHAnsi"/>
          <w:lang w:val="en-GB"/>
        </w:rPr>
        <w:t>Therapeutic agents,</w:t>
      </w:r>
      <w:r w:rsidR="004E2302" w:rsidRPr="00834FC5">
        <w:rPr>
          <w:rFonts w:cstheme="minorHAnsi"/>
          <w:lang w:val="en-GB"/>
        </w:rPr>
        <w:t xml:space="preserve"> such as drugs and nanoparticles</w:t>
      </w:r>
      <w:r w:rsidRPr="00834FC5">
        <w:rPr>
          <w:rFonts w:cstheme="minorHAnsi"/>
          <w:lang w:val="en-GB"/>
        </w:rPr>
        <w:t>,</w:t>
      </w:r>
      <w:r w:rsidR="004E2302" w:rsidRPr="00834FC5">
        <w:rPr>
          <w:rFonts w:cstheme="minorHAnsi"/>
          <w:lang w:val="en-GB"/>
        </w:rPr>
        <w:t xml:space="preserve"> adm</w:t>
      </w:r>
      <w:r w:rsidR="00A04C72" w:rsidRPr="00834FC5">
        <w:rPr>
          <w:rFonts w:cstheme="minorHAnsi"/>
          <w:lang w:val="en-GB"/>
        </w:rPr>
        <w:t>inistered into the systemic circulation</w:t>
      </w:r>
      <w:r w:rsidR="00283642" w:rsidRPr="00834FC5">
        <w:rPr>
          <w:rFonts w:cstheme="minorHAnsi"/>
          <w:lang w:val="en-GB"/>
        </w:rPr>
        <w:t xml:space="preserve"> often </w:t>
      </w:r>
      <w:r w:rsidR="00A04C72" w:rsidRPr="00834FC5">
        <w:rPr>
          <w:rFonts w:cstheme="minorHAnsi"/>
          <w:lang w:val="en-GB"/>
        </w:rPr>
        <w:t>interact</w:t>
      </w:r>
      <w:r w:rsidR="00283642" w:rsidRPr="00834FC5">
        <w:rPr>
          <w:rFonts w:cstheme="minorHAnsi"/>
          <w:lang w:val="en-GB"/>
        </w:rPr>
        <w:t xml:space="preserve"> between multiple</w:t>
      </w:r>
      <w:r w:rsidRPr="00834FC5">
        <w:rPr>
          <w:rFonts w:cstheme="minorHAnsi"/>
          <w:lang w:val="en-GB"/>
        </w:rPr>
        <w:t xml:space="preserve"> organs</w:t>
      </w:r>
      <w:r w:rsidR="00283642" w:rsidRPr="00834FC5">
        <w:rPr>
          <w:rFonts w:cstheme="minorHAnsi"/>
          <w:lang w:val="en-GB"/>
        </w:rPr>
        <w:t>.</w:t>
      </w:r>
      <w:r w:rsidR="00A04C72" w:rsidRPr="00834FC5">
        <w:rPr>
          <w:rFonts w:cstheme="minorHAnsi"/>
          <w:lang w:val="en-GB"/>
        </w:rPr>
        <w:t xml:space="preserve"> </w:t>
      </w:r>
      <w:r w:rsidR="009741CE">
        <w:rPr>
          <w:rFonts w:cstheme="minorHAnsi"/>
          <w:lang w:val="en-GB"/>
        </w:rPr>
        <w:t>Microfluidic</w:t>
      </w:r>
      <w:r w:rsidR="00283642" w:rsidRPr="00834FC5">
        <w:rPr>
          <w:rFonts w:cstheme="minorHAnsi"/>
          <w:lang w:val="en-GB"/>
        </w:rPr>
        <w:t xml:space="preserve"> </w:t>
      </w:r>
      <w:r w:rsidR="00A04C72" w:rsidRPr="00834FC5">
        <w:rPr>
          <w:rFonts w:cstheme="minorHAnsi"/>
          <w:lang w:val="en-GB"/>
        </w:rPr>
        <w:t>in vitro culture</w:t>
      </w:r>
      <w:r w:rsidR="00283642" w:rsidRPr="00834FC5">
        <w:rPr>
          <w:rFonts w:cstheme="minorHAnsi"/>
          <w:lang w:val="en-GB"/>
        </w:rPr>
        <w:t xml:space="preserve"> systems offer the unique opportunity to mimic </w:t>
      </w:r>
      <w:r w:rsidR="00A04C72" w:rsidRPr="00834FC5">
        <w:rPr>
          <w:rFonts w:cstheme="minorHAnsi"/>
          <w:lang w:val="en-GB"/>
        </w:rPr>
        <w:t xml:space="preserve">such </w:t>
      </w:r>
      <w:r w:rsidR="00283642" w:rsidRPr="00834FC5">
        <w:rPr>
          <w:rFonts w:cstheme="minorHAnsi"/>
          <w:lang w:val="en-GB"/>
        </w:rPr>
        <w:t>physiological systemic interactions. Although conceptually straightforward, there are significant engineering challenges in synchroni</w:t>
      </w:r>
      <w:r w:rsidR="00962FB4" w:rsidRPr="00834FC5">
        <w:rPr>
          <w:rFonts w:cstheme="minorHAnsi"/>
          <w:lang w:val="en-GB"/>
        </w:rPr>
        <w:t>s</w:t>
      </w:r>
      <w:r w:rsidR="00283642" w:rsidRPr="00834FC5">
        <w:rPr>
          <w:rFonts w:cstheme="minorHAnsi"/>
          <w:lang w:val="en-GB"/>
        </w:rPr>
        <w:t xml:space="preserve">ing the culture configurations and conditions of different </w:t>
      </w:r>
      <w:r w:rsidRPr="00834FC5">
        <w:rPr>
          <w:rFonts w:cstheme="minorHAnsi"/>
          <w:lang w:val="en-GB"/>
        </w:rPr>
        <w:t>cell</w:t>
      </w:r>
      <w:r w:rsidR="00A04C72" w:rsidRPr="00834FC5">
        <w:rPr>
          <w:rFonts w:cstheme="minorHAnsi"/>
          <w:lang w:val="en-GB"/>
        </w:rPr>
        <w:t xml:space="preserve"> types</w:t>
      </w:r>
      <w:r w:rsidR="00283642" w:rsidRPr="00834FC5">
        <w:rPr>
          <w:rFonts w:cstheme="minorHAnsi"/>
          <w:lang w:val="en-GB"/>
        </w:rPr>
        <w:t>, and connecting them in a flexible format to depict different physiological processes.</w:t>
      </w:r>
      <w:r w:rsidR="00A04C72" w:rsidRPr="00834FC5">
        <w:rPr>
          <w:rFonts w:cstheme="minorHAnsi"/>
          <w:lang w:val="en-GB"/>
        </w:rPr>
        <w:t xml:space="preserve"> This talk will demonstrate the exploitation of </w:t>
      </w:r>
      <w:r w:rsidR="00962FB4" w:rsidRPr="00834FC5">
        <w:rPr>
          <w:rFonts w:cstheme="minorHAnsi"/>
          <w:lang w:val="en-GB"/>
        </w:rPr>
        <w:t>2 different</w:t>
      </w:r>
      <w:r w:rsidR="00A04C72" w:rsidRPr="00834FC5">
        <w:rPr>
          <w:rFonts w:cstheme="minorHAnsi"/>
          <w:lang w:val="en-GB"/>
        </w:rPr>
        <w:t xml:space="preserve"> classes of multi-compartment microfluidic devices to more accurately </w:t>
      </w:r>
      <w:r w:rsidR="00E44CFD" w:rsidRPr="00834FC5">
        <w:rPr>
          <w:rFonts w:cstheme="minorHAnsi"/>
          <w:lang w:val="en-GB"/>
        </w:rPr>
        <w:t>predict</w:t>
      </w:r>
      <w:r w:rsidR="00A04C72" w:rsidRPr="00834FC5">
        <w:rPr>
          <w:rFonts w:cstheme="minorHAnsi"/>
          <w:lang w:val="en-GB"/>
        </w:rPr>
        <w:t xml:space="preserve"> </w:t>
      </w:r>
      <w:r w:rsidR="00962FB4" w:rsidRPr="00834FC5">
        <w:rPr>
          <w:rFonts w:cstheme="minorHAnsi"/>
          <w:lang w:val="en-GB"/>
        </w:rPr>
        <w:t xml:space="preserve">the therapeutic or adverse side effects of drugs mediated by multi-organ interactions. An </w:t>
      </w:r>
      <w:r w:rsidRPr="00834FC5">
        <w:rPr>
          <w:rFonts w:cstheme="minorHAnsi"/>
          <w:lang w:val="en-GB"/>
        </w:rPr>
        <w:t xml:space="preserve">array of </w:t>
      </w:r>
      <w:r w:rsidR="00962FB4" w:rsidRPr="00834FC5">
        <w:rPr>
          <w:rFonts w:cstheme="minorHAnsi"/>
          <w:lang w:val="en-GB"/>
        </w:rPr>
        <w:t>compartmentalised micro</w:t>
      </w:r>
      <w:r w:rsidR="00E44CFD" w:rsidRPr="00834FC5">
        <w:rPr>
          <w:rFonts w:cstheme="minorHAnsi"/>
          <w:lang w:val="en-GB"/>
        </w:rPr>
        <w:t>-</w:t>
      </w:r>
      <w:r w:rsidR="00962FB4" w:rsidRPr="00834FC5">
        <w:rPr>
          <w:rFonts w:cstheme="minorHAnsi"/>
          <w:lang w:val="en-GB"/>
        </w:rPr>
        <w:t>well</w:t>
      </w:r>
      <w:r w:rsidRPr="00834FC5">
        <w:rPr>
          <w:rFonts w:cstheme="minorHAnsi"/>
          <w:lang w:val="en-GB"/>
        </w:rPr>
        <w:t>s</w:t>
      </w:r>
      <w:r w:rsidR="00962FB4" w:rsidRPr="00834FC5">
        <w:rPr>
          <w:rFonts w:cstheme="minorHAnsi"/>
          <w:lang w:val="en-GB"/>
        </w:rPr>
        <w:t xml:space="preserve"> separated by diffusive micro-channels was used to</w:t>
      </w:r>
      <w:r w:rsidR="00E44CFD" w:rsidRPr="00834FC5">
        <w:rPr>
          <w:rFonts w:cstheme="minorHAnsi"/>
          <w:lang w:val="en-GB"/>
        </w:rPr>
        <w:t xml:space="preserve"> emulate early upstream cellular processes involved in drug-induced skin sensitisation</w:t>
      </w:r>
      <w:r w:rsidR="00834FC5">
        <w:rPr>
          <w:rFonts w:cstheme="minorHAnsi"/>
          <w:lang w:val="en-GB"/>
        </w:rPr>
        <w:t xml:space="preserve"> (Figure 1)</w:t>
      </w:r>
      <w:r w:rsidR="00E44CFD" w:rsidRPr="00834FC5">
        <w:rPr>
          <w:rFonts w:cstheme="minorHAnsi"/>
          <w:lang w:val="en-GB"/>
        </w:rPr>
        <w:t>. This included the generation of antigenic reactive drug metabolites by the liver as well as the activation of the immune cascade, which can reliably measure the systemic skin-sensitization potential of different drugs. A modular microfluidic platform was developed to enable easy conversion of existing microfluidic devices into tissue and fluid control modules with self-aligning magnetic interconnects</w:t>
      </w:r>
      <w:r w:rsidR="00834FC5">
        <w:rPr>
          <w:rFonts w:cstheme="minorHAnsi"/>
          <w:lang w:val="en-GB"/>
        </w:rPr>
        <w:t xml:space="preserve"> (Figure 2)</w:t>
      </w:r>
      <w:r w:rsidR="00E44CFD" w:rsidRPr="00834FC5">
        <w:rPr>
          <w:rFonts w:cstheme="minorHAnsi"/>
          <w:lang w:val="en-GB"/>
        </w:rPr>
        <w:t>. This enables a ‘stick-n-play’ approach to assemble planar perfusion circuits</w:t>
      </w:r>
      <w:r w:rsidRPr="00834FC5">
        <w:rPr>
          <w:rFonts w:cstheme="minorHAnsi"/>
          <w:lang w:val="en-GB"/>
        </w:rPr>
        <w:t xml:space="preserve">, which </w:t>
      </w:r>
      <w:r w:rsidR="00E44CFD" w:rsidRPr="00834FC5">
        <w:rPr>
          <w:rFonts w:cstheme="minorHAnsi"/>
          <w:lang w:val="en-GB"/>
        </w:rPr>
        <w:t xml:space="preserve">are amenable to both bioimaging-based and analytical measurements. </w:t>
      </w:r>
      <w:r w:rsidRPr="00834FC5">
        <w:rPr>
          <w:rFonts w:cstheme="minorHAnsi"/>
          <w:lang w:val="en-GB"/>
        </w:rPr>
        <w:t xml:space="preserve">As a use-case demonstration, 2- or 3-tissue </w:t>
      </w:r>
      <w:r w:rsidR="00E44CFD" w:rsidRPr="00834FC5">
        <w:rPr>
          <w:rFonts w:cstheme="minorHAnsi"/>
          <w:lang w:val="en-GB"/>
        </w:rPr>
        <w:t xml:space="preserve">recirculating </w:t>
      </w:r>
      <w:r w:rsidRPr="00834FC5">
        <w:rPr>
          <w:rFonts w:cstheme="minorHAnsi"/>
          <w:lang w:val="en-GB"/>
        </w:rPr>
        <w:t>perfusion</w:t>
      </w:r>
      <w:r w:rsidR="00E44CFD" w:rsidRPr="00834FC5">
        <w:rPr>
          <w:rFonts w:cstheme="minorHAnsi"/>
          <w:lang w:val="en-GB"/>
        </w:rPr>
        <w:t xml:space="preserve"> systems</w:t>
      </w:r>
      <w:r w:rsidRPr="00834FC5">
        <w:rPr>
          <w:rFonts w:cstheme="minorHAnsi"/>
          <w:lang w:val="en-GB"/>
        </w:rPr>
        <w:t xml:space="preserve"> were implemented</w:t>
      </w:r>
      <w:r w:rsidR="00E44CFD" w:rsidRPr="00834FC5">
        <w:rPr>
          <w:rFonts w:cstheme="minorHAnsi"/>
          <w:lang w:val="en-GB"/>
        </w:rPr>
        <w:t xml:space="preserve"> to emulate liver-mediated bioactivation of nutraceuticals and prodrugs to modulate their therapeutic efficacies in the context of atherosclerosis and cancer. Th</w:t>
      </w:r>
      <w:r w:rsidR="00A56AE0">
        <w:rPr>
          <w:rFonts w:cstheme="minorHAnsi"/>
          <w:lang w:val="en-GB"/>
        </w:rPr>
        <w:t>e</w:t>
      </w:r>
      <w:r w:rsidR="00E44CFD" w:rsidRPr="00834FC5">
        <w:rPr>
          <w:rFonts w:cstheme="minorHAnsi"/>
          <w:lang w:val="en-GB"/>
        </w:rPr>
        <w:t xml:space="preserve"> platfor</w:t>
      </w:r>
      <w:bookmarkStart w:id="0" w:name="_GoBack"/>
      <w:bookmarkEnd w:id="0"/>
      <w:r w:rsidR="00E44CFD" w:rsidRPr="00834FC5">
        <w:rPr>
          <w:rFonts w:cstheme="minorHAnsi"/>
          <w:lang w:val="en-GB"/>
        </w:rPr>
        <w:t>m greatly facilitates the integration of existing organs-on-chip models to provide an intuitive and flexible way for users to configure different multi-organ perfusion systems.</w:t>
      </w:r>
    </w:p>
    <w:p w14:paraId="2F340A8F" w14:textId="35AE617D" w:rsidR="00834FC5" w:rsidRPr="005D2C7A" w:rsidRDefault="00834FC5" w:rsidP="005D2C7A">
      <w:pPr>
        <w:spacing w:line="240" w:lineRule="auto"/>
        <w:rPr>
          <w:rFonts w:cstheme="minorHAnsi"/>
          <w:i/>
          <w:lang w:val="en-GB"/>
        </w:rPr>
      </w:pPr>
      <w:r w:rsidRPr="005D2C7A">
        <w:rPr>
          <w:rFonts w:cstheme="minorHAnsi"/>
          <w:b/>
          <w:i/>
          <w:noProof/>
          <w:lang w:val="en-GB"/>
        </w:rPr>
        <w:drawing>
          <wp:anchor distT="0" distB="0" distL="114300" distR="114300" simplePos="0" relativeHeight="251658240" behindDoc="0" locked="0" layoutInCell="1" allowOverlap="1" wp14:anchorId="47775520" wp14:editId="669105CD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3573710" cy="1713423"/>
            <wp:effectExtent l="0" t="0" r="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al abstract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710" cy="1713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C7A">
        <w:rPr>
          <w:rFonts w:cstheme="minorHAnsi"/>
          <w:b/>
          <w:i/>
          <w:lang w:val="en-GB"/>
        </w:rPr>
        <w:t>Figure 1.</w:t>
      </w:r>
      <w:r w:rsidRPr="005D2C7A">
        <w:rPr>
          <w:rFonts w:cstheme="minorHAnsi"/>
          <w:i/>
          <w:lang w:val="en-GB"/>
        </w:rPr>
        <w:t xml:space="preserve"> A compartmentalised micro-well array for liver-immune coculture was used to predict the skin-sensitisation potential of drugs</w:t>
      </w:r>
      <w:r w:rsidR="005D2C7A" w:rsidRPr="005D2C7A">
        <w:rPr>
          <w:rFonts w:cstheme="minorHAnsi"/>
          <w:i/>
          <w:lang w:val="en-GB"/>
        </w:rPr>
        <w:t xml:space="preserve">. </w:t>
      </w:r>
    </w:p>
    <w:p w14:paraId="725CABF2" w14:textId="0ECEBF1C" w:rsidR="005D2C7A" w:rsidRDefault="005D2C7A" w:rsidP="005D2C7A">
      <w:pPr>
        <w:spacing w:line="240" w:lineRule="auto"/>
        <w:rPr>
          <w:rFonts w:cstheme="minorHAnsi"/>
          <w:lang w:val="en-GB"/>
        </w:rPr>
      </w:pPr>
    </w:p>
    <w:p w14:paraId="12029669" w14:textId="24C6F9F7" w:rsidR="005D2C7A" w:rsidRDefault="005D2C7A" w:rsidP="005D2C7A">
      <w:pPr>
        <w:spacing w:line="240" w:lineRule="auto"/>
        <w:rPr>
          <w:rFonts w:cstheme="minorHAnsi"/>
          <w:lang w:val="en-GB"/>
        </w:rPr>
      </w:pPr>
    </w:p>
    <w:p w14:paraId="247955C5" w14:textId="1CE3D82D" w:rsidR="005D2C7A" w:rsidRDefault="005D2C7A" w:rsidP="005D2C7A">
      <w:pPr>
        <w:spacing w:line="240" w:lineRule="auto"/>
        <w:rPr>
          <w:rFonts w:cstheme="minorHAnsi"/>
          <w:lang w:val="en-GB"/>
        </w:rPr>
      </w:pPr>
    </w:p>
    <w:p w14:paraId="6BE90758" w14:textId="77777777" w:rsidR="005D2C7A" w:rsidRDefault="005D2C7A" w:rsidP="005D2C7A">
      <w:pPr>
        <w:spacing w:line="240" w:lineRule="auto"/>
        <w:rPr>
          <w:rFonts w:cstheme="minorHAnsi"/>
          <w:lang w:val="en-GB"/>
        </w:rPr>
      </w:pPr>
    </w:p>
    <w:p w14:paraId="646C154A" w14:textId="0B6E2DE8" w:rsidR="005D2C7A" w:rsidRPr="005D2C7A" w:rsidRDefault="005D2C7A" w:rsidP="005D2C7A">
      <w:pPr>
        <w:spacing w:line="240" w:lineRule="auto"/>
        <w:rPr>
          <w:rFonts w:cstheme="minorHAnsi"/>
          <w:i/>
          <w:lang w:val="en-GB"/>
        </w:rPr>
      </w:pPr>
      <w:r w:rsidRPr="005D2C7A">
        <w:rPr>
          <w:rFonts w:cstheme="minorHAnsi"/>
          <w:b/>
          <w:i/>
          <w:noProof/>
          <w:lang w:val="en-GB"/>
        </w:rPr>
        <w:drawing>
          <wp:anchor distT="0" distB="0" distL="114300" distR="114300" simplePos="0" relativeHeight="251659264" behindDoc="0" locked="0" layoutInCell="1" allowOverlap="1" wp14:anchorId="557B607A" wp14:editId="3397A191">
            <wp:simplePos x="0" y="0"/>
            <wp:positionH relativeFrom="column">
              <wp:posOffset>134224</wp:posOffset>
            </wp:positionH>
            <wp:positionV relativeFrom="paragraph">
              <wp:posOffset>89127</wp:posOffset>
            </wp:positionV>
            <wp:extent cx="3433445" cy="1442777"/>
            <wp:effectExtent l="0" t="0" r="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C modular microfluidic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445" cy="1442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C7A">
        <w:rPr>
          <w:rFonts w:cstheme="minorHAnsi"/>
          <w:b/>
          <w:i/>
          <w:lang w:val="en-GB"/>
        </w:rPr>
        <w:t>Figure 2.</w:t>
      </w:r>
      <w:r w:rsidRPr="005D2C7A">
        <w:rPr>
          <w:rFonts w:cstheme="minorHAnsi"/>
          <w:i/>
          <w:lang w:val="en-GB"/>
        </w:rPr>
        <w:t xml:space="preserve"> A modular microfluidic platform that enables a user-intuitive and flexible way to configure multi-organ perfusion culture systems.</w:t>
      </w:r>
    </w:p>
    <w:p w14:paraId="4016EC44" w14:textId="4F573E8D" w:rsidR="005D2C7A" w:rsidRDefault="005D2C7A" w:rsidP="00834FC5">
      <w:pPr>
        <w:spacing w:line="240" w:lineRule="auto"/>
        <w:jc w:val="both"/>
        <w:rPr>
          <w:rFonts w:cstheme="minorHAnsi"/>
          <w:lang w:val="en-GB"/>
        </w:rPr>
      </w:pPr>
    </w:p>
    <w:p w14:paraId="218ED351" w14:textId="169DBC3F" w:rsidR="00834FC5" w:rsidRDefault="00834FC5" w:rsidP="00834FC5">
      <w:pPr>
        <w:spacing w:line="240" w:lineRule="auto"/>
        <w:jc w:val="both"/>
        <w:rPr>
          <w:rFonts w:cstheme="minorHAnsi"/>
          <w:lang w:val="en-GB"/>
        </w:rPr>
      </w:pPr>
    </w:p>
    <w:p w14:paraId="4903E179" w14:textId="36DB057C" w:rsidR="00165F82" w:rsidRPr="00962FB4" w:rsidRDefault="00165F82">
      <w:pPr>
        <w:rPr>
          <w:rFonts w:cstheme="minorHAnsi"/>
          <w:lang w:val="en-GB"/>
        </w:rPr>
      </w:pPr>
    </w:p>
    <w:sectPr w:rsidR="00165F82" w:rsidRPr="00962FB4" w:rsidSect="00834FC5">
      <w:headerReference w:type="default" r:id="rId9"/>
      <w:footerReference w:type="default" r:id="rId10"/>
      <w:pgSz w:w="11900" w:h="16840"/>
      <w:pgMar w:top="1440" w:right="1440" w:bottom="1440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168446" w14:textId="77777777" w:rsidR="00071AA5" w:rsidRDefault="00071AA5" w:rsidP="00834FC5">
      <w:pPr>
        <w:spacing w:after="0" w:line="240" w:lineRule="auto"/>
      </w:pPr>
      <w:r>
        <w:separator/>
      </w:r>
    </w:p>
  </w:endnote>
  <w:endnote w:type="continuationSeparator" w:id="0">
    <w:p w14:paraId="0C96A304" w14:textId="77777777" w:rsidR="00071AA5" w:rsidRDefault="00071AA5" w:rsidP="00834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9169713"/>
      <w:placeholder>
        <w:docPart w:val="89D50A2A8955A04ABBBA732F9E8DD772"/>
      </w:placeholder>
      <w:temporary/>
      <w:showingPlcHdr/>
      <w15:appearance w15:val="hidden"/>
    </w:sdtPr>
    <w:sdtEndPr/>
    <w:sdtContent>
      <w:p w14:paraId="01B8DA50" w14:textId="77777777" w:rsidR="00834FC5" w:rsidRDefault="00834FC5">
        <w:pPr>
          <w:pStyle w:val="Footer"/>
        </w:pPr>
        <w:r>
          <w:t>[Type here]</w:t>
        </w:r>
      </w:p>
    </w:sdtContent>
  </w:sdt>
  <w:p w14:paraId="107F966A" w14:textId="77777777" w:rsidR="00834FC5" w:rsidRDefault="00834F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4367AD" w14:textId="77777777" w:rsidR="00071AA5" w:rsidRDefault="00071AA5" w:rsidP="00834FC5">
      <w:pPr>
        <w:spacing w:after="0" w:line="240" w:lineRule="auto"/>
      </w:pPr>
      <w:r>
        <w:separator/>
      </w:r>
    </w:p>
  </w:footnote>
  <w:footnote w:type="continuationSeparator" w:id="0">
    <w:p w14:paraId="7E610A0B" w14:textId="77777777" w:rsidR="00071AA5" w:rsidRDefault="00071AA5" w:rsidP="00834F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8752352"/>
      <w:placeholder>
        <w:docPart w:val="9EF3B9E4DB00D642992CDA6CE4016C29"/>
      </w:placeholder>
      <w:temporary/>
      <w:showingPlcHdr/>
      <w15:appearance w15:val="hidden"/>
    </w:sdtPr>
    <w:sdtEndPr/>
    <w:sdtContent>
      <w:p w14:paraId="2DA061E6" w14:textId="77777777" w:rsidR="00834FC5" w:rsidRDefault="00834FC5">
        <w:pPr>
          <w:pStyle w:val="Header"/>
        </w:pPr>
        <w:r>
          <w:t>[Type here]</w:t>
        </w:r>
      </w:p>
    </w:sdtContent>
  </w:sdt>
  <w:p w14:paraId="207AAB45" w14:textId="77777777" w:rsidR="00834FC5" w:rsidRDefault="00834F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7C4423"/>
    <w:multiLevelType w:val="hybridMultilevel"/>
    <w:tmpl w:val="8912E9C0"/>
    <w:lvl w:ilvl="0" w:tplc="C9D2FA6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642"/>
    <w:rsid w:val="0000352F"/>
    <w:rsid w:val="00071AA5"/>
    <w:rsid w:val="000C3E3D"/>
    <w:rsid w:val="00165F82"/>
    <w:rsid w:val="00203A52"/>
    <w:rsid w:val="00283642"/>
    <w:rsid w:val="00323F00"/>
    <w:rsid w:val="003E3727"/>
    <w:rsid w:val="004201EE"/>
    <w:rsid w:val="00461A2D"/>
    <w:rsid w:val="004E2302"/>
    <w:rsid w:val="00580B22"/>
    <w:rsid w:val="005829EC"/>
    <w:rsid w:val="005D2C7A"/>
    <w:rsid w:val="00681BE7"/>
    <w:rsid w:val="006A5BF8"/>
    <w:rsid w:val="00704F2A"/>
    <w:rsid w:val="007F738F"/>
    <w:rsid w:val="00816BA8"/>
    <w:rsid w:val="00834FC5"/>
    <w:rsid w:val="008C1D49"/>
    <w:rsid w:val="008E3383"/>
    <w:rsid w:val="00934A55"/>
    <w:rsid w:val="00962FB4"/>
    <w:rsid w:val="009741CE"/>
    <w:rsid w:val="009F2FD5"/>
    <w:rsid w:val="00A04C72"/>
    <w:rsid w:val="00A24442"/>
    <w:rsid w:val="00A56AE0"/>
    <w:rsid w:val="00A75F3F"/>
    <w:rsid w:val="00CE3E2A"/>
    <w:rsid w:val="00DE7DA6"/>
    <w:rsid w:val="00E41416"/>
    <w:rsid w:val="00E44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937101"/>
  <w15:chartTrackingRefBased/>
  <w15:docId w15:val="{37E90B1C-2E3F-BF4A-ADA0-726537327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SG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83642"/>
    <w:pPr>
      <w:spacing w:after="160" w:line="259" w:lineRule="auto"/>
    </w:pPr>
    <w:rPr>
      <w:rFonts w:eastAsiaTheme="minorEastAsia"/>
      <w:sz w:val="22"/>
      <w:szCs w:val="22"/>
      <w:lang w:val="en-US" w:eastAsia="zh-CN"/>
    </w:rPr>
  </w:style>
  <w:style w:type="paragraph" w:styleId="Heading3">
    <w:name w:val="heading 3"/>
    <w:basedOn w:val="Normal"/>
    <w:link w:val="Heading3Char"/>
    <w:uiPriority w:val="9"/>
    <w:qFormat/>
    <w:rsid w:val="00203A5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S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3A5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03A52"/>
    <w:rPr>
      <w:rFonts w:ascii="Times New Roman" w:eastAsia="Times New Roman" w:hAnsi="Times New Roman" w:cs="Times New Roman"/>
      <w:b/>
      <w:bCs/>
      <w:sz w:val="27"/>
      <w:szCs w:val="27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203A5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34F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4FC5"/>
    <w:rPr>
      <w:rFonts w:eastAsiaTheme="minorEastAsia"/>
      <w:sz w:val="22"/>
      <w:szCs w:val="22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834F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4FC5"/>
    <w:rPr>
      <w:rFonts w:eastAsiaTheme="minorEastAsia"/>
      <w:sz w:val="22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6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9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2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EF3B9E4DB00D642992CDA6CE4016C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C7BCC1-EFB8-D545-A570-C371859A342F}"/>
      </w:docPartPr>
      <w:docPartBody>
        <w:p w:rsidR="000D3290" w:rsidRDefault="00E448BA" w:rsidP="00E448BA">
          <w:pPr>
            <w:pStyle w:val="9EF3B9E4DB00D642992CDA6CE4016C29"/>
          </w:pPr>
          <w:r>
            <w:t>[Type here]</w:t>
          </w:r>
        </w:p>
      </w:docPartBody>
    </w:docPart>
    <w:docPart>
      <w:docPartPr>
        <w:name w:val="89D50A2A8955A04ABBBA732F9E8DD7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18126-DCA7-5749-9A2A-98B8AA67F06A}"/>
      </w:docPartPr>
      <w:docPartBody>
        <w:p w:rsidR="000D3290" w:rsidRDefault="00E448BA" w:rsidP="00E448BA">
          <w:pPr>
            <w:pStyle w:val="89D50A2A8955A04ABBBA732F9E8DD772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8BA"/>
    <w:rsid w:val="000D3290"/>
    <w:rsid w:val="002F5745"/>
    <w:rsid w:val="00E448BA"/>
    <w:rsid w:val="00F23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SG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EF3B9E4DB00D642992CDA6CE4016C29">
    <w:name w:val="9EF3B9E4DB00D642992CDA6CE4016C29"/>
    <w:rsid w:val="00E448BA"/>
  </w:style>
  <w:style w:type="paragraph" w:customStyle="1" w:styleId="89D50A2A8955A04ABBBA732F9E8DD772">
    <w:name w:val="89D50A2A8955A04ABBBA732F9E8DD772"/>
    <w:rsid w:val="00E448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Toh Yi-Chin</dc:creator>
  <cp:keywords/>
  <dc:description/>
  <cp:lastModifiedBy>Toh Yi-Chin</cp:lastModifiedBy>
  <cp:revision>7</cp:revision>
  <dcterms:created xsi:type="dcterms:W3CDTF">2019-08-21T08:44:00Z</dcterms:created>
  <dcterms:modified xsi:type="dcterms:W3CDTF">2019-08-22T03:07:00Z</dcterms:modified>
</cp:coreProperties>
</file>