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52735F89" w:rsidR="00711813" w:rsidRPr="00DF1C8E" w:rsidRDefault="00BA08B2" w:rsidP="009A4CFF">
      <w:pPr>
        <w:ind w:left="284" w:right="282"/>
        <w:jc w:val="center"/>
        <w:rPr>
          <w:rFonts w:ascii="Calibri" w:hAnsi="Calibri" w:cs="Calibri"/>
          <w:b/>
          <w:sz w:val="28"/>
          <w:szCs w:val="28"/>
          <w:lang w:val="en-AU"/>
        </w:rPr>
      </w:pPr>
      <w:r w:rsidRPr="00BA08B2">
        <w:rPr>
          <w:rFonts w:ascii="Calibri" w:hAnsi="Calibri" w:cs="Calibri"/>
          <w:b/>
          <w:sz w:val="28"/>
          <w:szCs w:val="28"/>
          <w:lang w:val="en-AU"/>
        </w:rPr>
        <w:t xml:space="preserve">Towards All-Organic Radical </w:t>
      </w:r>
      <w:r w:rsidR="00451BDE">
        <w:rPr>
          <w:rFonts w:ascii="Calibri" w:hAnsi="Calibri" w:cs="Calibri"/>
          <w:b/>
          <w:sz w:val="28"/>
          <w:szCs w:val="28"/>
          <w:lang w:val="en-AU"/>
        </w:rPr>
        <w:t>Batteries</w:t>
      </w:r>
    </w:p>
    <w:p w14:paraId="57C45AC5" w14:textId="77777777" w:rsidR="00DF1C8E" w:rsidRDefault="00DF1C8E" w:rsidP="009A4CFF">
      <w:pPr>
        <w:ind w:left="284" w:right="282"/>
        <w:jc w:val="both"/>
        <w:rPr>
          <w:rFonts w:ascii="Calibri" w:hAnsi="Calibri" w:cs="Calibri"/>
          <w:sz w:val="20"/>
          <w:szCs w:val="20"/>
          <w:lang w:val="en-AU"/>
        </w:rPr>
      </w:pPr>
    </w:p>
    <w:p w14:paraId="1242D2B7" w14:textId="65D61F7B" w:rsidR="00BA08B2" w:rsidRPr="00BA08B2" w:rsidRDefault="00BA08B2" w:rsidP="00BA08B2">
      <w:pPr>
        <w:shd w:val="solid" w:color="FFFFFF" w:fill="FFFFFF"/>
        <w:spacing w:line="312" w:lineRule="auto"/>
        <w:jc w:val="center"/>
        <w:rPr>
          <w:rFonts w:ascii="Calibri" w:eastAsia="宋体" w:hAnsi="Calibri"/>
          <w:iCs/>
          <w:vertAlign w:val="superscript"/>
          <w:lang w:eastAsia="zh-CN"/>
        </w:rPr>
      </w:pPr>
      <w:r w:rsidRPr="00BA08B2">
        <w:rPr>
          <w:rFonts w:ascii="Calibri" w:hAnsi="Calibri"/>
          <w:iCs/>
          <w:lang w:eastAsia="ko-KR"/>
        </w:rPr>
        <w:t xml:space="preserve">Ekaterina I </w:t>
      </w:r>
      <w:proofErr w:type="gramStart"/>
      <w:r w:rsidRPr="00BA08B2">
        <w:rPr>
          <w:rFonts w:ascii="Calibri" w:hAnsi="Calibri"/>
          <w:iCs/>
          <w:lang w:eastAsia="ko-KR"/>
        </w:rPr>
        <w:t>Izgorodina</w:t>
      </w:r>
      <w:r w:rsidRPr="00BA08B2">
        <w:rPr>
          <w:rFonts w:ascii="Calibri" w:eastAsia="宋体" w:hAnsi="Calibri"/>
          <w:iCs/>
          <w:lang w:eastAsia="zh-CN"/>
        </w:rPr>
        <w:t>,</w:t>
      </w:r>
      <w:r w:rsidRPr="00BA08B2">
        <w:rPr>
          <w:rFonts w:ascii="Calibri" w:eastAsia="宋体" w:hAnsi="Calibri"/>
          <w:iCs/>
          <w:vertAlign w:val="superscript"/>
          <w:lang w:eastAsia="zh-CN"/>
        </w:rPr>
        <w:t>A</w:t>
      </w:r>
      <w:proofErr w:type="gramEnd"/>
      <w:r w:rsidRPr="00BA08B2">
        <w:rPr>
          <w:rFonts w:ascii="Calibri" w:eastAsia="宋体" w:hAnsi="Calibri"/>
          <w:iCs/>
          <w:lang w:eastAsia="zh-CN"/>
        </w:rPr>
        <w:t xml:space="preserve"> Luke </w:t>
      </w:r>
      <w:proofErr w:type="spellStart"/>
      <w:r w:rsidRPr="00BA08B2">
        <w:rPr>
          <w:rFonts w:ascii="Calibri" w:eastAsia="宋体" w:hAnsi="Calibri"/>
          <w:iCs/>
          <w:lang w:eastAsia="zh-CN"/>
        </w:rPr>
        <w:t>Wylie</w:t>
      </w:r>
      <w:r w:rsidRPr="00BA08B2">
        <w:rPr>
          <w:rFonts w:ascii="Calibri" w:hAnsi="Calibri"/>
          <w:iCs/>
          <w:lang w:eastAsia="ko-KR"/>
        </w:rPr>
        <w:t>,</w:t>
      </w:r>
      <w:r>
        <w:rPr>
          <w:rFonts w:ascii="Calibri" w:eastAsia="宋体" w:hAnsi="Calibri"/>
          <w:iCs/>
          <w:vertAlign w:val="superscript"/>
          <w:lang w:eastAsia="zh-CN"/>
        </w:rPr>
        <w:t>A</w:t>
      </w:r>
      <w:proofErr w:type="spellEnd"/>
      <w:r w:rsidRPr="00BA08B2">
        <w:rPr>
          <w:rFonts w:ascii="Calibri" w:eastAsia="宋体" w:hAnsi="Calibri"/>
          <w:iCs/>
          <w:lang w:eastAsia="zh-CN"/>
        </w:rPr>
        <w:t xml:space="preserve"> Kenichi </w:t>
      </w:r>
      <w:proofErr w:type="spellStart"/>
      <w:r w:rsidRPr="00BA08B2">
        <w:rPr>
          <w:rFonts w:ascii="Calibri" w:eastAsia="宋体" w:hAnsi="Calibri"/>
          <w:iCs/>
          <w:lang w:eastAsia="zh-CN"/>
        </w:rPr>
        <w:t>Oyaizu,</w:t>
      </w:r>
      <w:r>
        <w:rPr>
          <w:rFonts w:ascii="Calibri" w:eastAsia="宋体" w:hAnsi="Calibri"/>
          <w:iCs/>
          <w:vertAlign w:val="superscript"/>
          <w:lang w:eastAsia="zh-CN"/>
        </w:rPr>
        <w:t>B</w:t>
      </w:r>
      <w:proofErr w:type="spellEnd"/>
      <w:r w:rsidRPr="00BA08B2">
        <w:rPr>
          <w:rFonts w:ascii="Calibri" w:eastAsia="宋体" w:hAnsi="Calibri"/>
          <w:iCs/>
          <w:lang w:eastAsia="zh-CN"/>
        </w:rPr>
        <w:t xml:space="preserve"> Amir </w:t>
      </w:r>
      <w:proofErr w:type="spellStart"/>
      <w:r w:rsidRPr="00BA08B2">
        <w:rPr>
          <w:rFonts w:ascii="Calibri" w:eastAsia="宋体" w:hAnsi="Calibri"/>
          <w:iCs/>
          <w:lang w:eastAsia="zh-CN"/>
        </w:rPr>
        <w:t>Karton</w:t>
      </w:r>
      <w:r>
        <w:rPr>
          <w:rFonts w:ascii="Calibri" w:eastAsia="宋体" w:hAnsi="Calibri"/>
          <w:iCs/>
          <w:vertAlign w:val="superscript"/>
          <w:lang w:eastAsia="zh-CN"/>
        </w:rPr>
        <w:t>B</w:t>
      </w:r>
      <w:proofErr w:type="spellEnd"/>
      <w:r w:rsidRPr="00BA08B2">
        <w:rPr>
          <w:rFonts w:ascii="Calibri" w:eastAsia="宋体" w:hAnsi="Calibri"/>
          <w:iCs/>
          <w:vertAlign w:val="superscript"/>
          <w:lang w:eastAsia="zh-CN"/>
        </w:rPr>
        <w:t xml:space="preserve"> </w:t>
      </w:r>
      <w:r w:rsidRPr="00BA08B2">
        <w:rPr>
          <w:rFonts w:ascii="Calibri" w:eastAsia="宋体" w:hAnsi="Calibri"/>
          <w:iCs/>
          <w:lang w:eastAsia="zh-CN"/>
        </w:rPr>
        <w:t xml:space="preserve">and Masahiro </w:t>
      </w:r>
      <w:proofErr w:type="spellStart"/>
      <w:r w:rsidRPr="00BA08B2">
        <w:rPr>
          <w:rFonts w:ascii="Calibri" w:eastAsia="宋体" w:hAnsi="Calibri"/>
          <w:iCs/>
          <w:lang w:eastAsia="zh-CN"/>
        </w:rPr>
        <w:t>Yoshizawa-Fujita</w:t>
      </w:r>
      <w:r>
        <w:rPr>
          <w:rFonts w:ascii="Calibri" w:eastAsia="宋体" w:hAnsi="Calibri"/>
          <w:iCs/>
          <w:vertAlign w:val="superscript"/>
          <w:lang w:eastAsia="zh-CN"/>
        </w:rPr>
        <w:t>D</w:t>
      </w:r>
      <w:proofErr w:type="spellEnd"/>
    </w:p>
    <w:p w14:paraId="289A705D" w14:textId="77777777" w:rsidR="00BA08B2" w:rsidRPr="00580CA3" w:rsidRDefault="00BA08B2" w:rsidP="00BA08B2">
      <w:pPr>
        <w:shd w:val="solid" w:color="FFFFFF" w:fill="FFFFFF"/>
        <w:spacing w:line="312" w:lineRule="auto"/>
        <w:jc w:val="center"/>
        <w:rPr>
          <w:b/>
          <w:lang w:eastAsia="ko-KR"/>
        </w:rPr>
      </w:pPr>
    </w:p>
    <w:p w14:paraId="47D5729E" w14:textId="49FE998D" w:rsidR="00BA08B2" w:rsidRPr="00BA08B2" w:rsidRDefault="00BA08B2" w:rsidP="00BA08B2">
      <w:pPr>
        <w:shd w:val="solid" w:color="FFFFFF" w:fill="FFFFFF"/>
        <w:rPr>
          <w:rFonts w:ascii="Calibri" w:eastAsia="宋体" w:hAnsi="Calibri"/>
          <w:sz w:val="22"/>
          <w:szCs w:val="22"/>
          <w:lang w:eastAsia="zh-CN"/>
        </w:rPr>
      </w:pPr>
      <w:r w:rsidRPr="00BA08B2">
        <w:rPr>
          <w:rFonts w:ascii="Calibri" w:eastAsia="宋体" w:hAnsi="Calibri"/>
          <w:sz w:val="22"/>
          <w:szCs w:val="22"/>
          <w:vertAlign w:val="superscript"/>
          <w:lang w:eastAsia="zh-CN"/>
        </w:rPr>
        <w:t>A</w:t>
      </w:r>
      <w:r w:rsidRPr="00BA08B2">
        <w:rPr>
          <w:rFonts w:ascii="Calibri" w:eastAsia="宋体" w:hAnsi="Calibri"/>
          <w:sz w:val="22"/>
          <w:szCs w:val="22"/>
          <w:lang w:eastAsia="zh-CN"/>
        </w:rPr>
        <w:t xml:space="preserve"> School of Chemistry, Monash University, Wellington Rd, Clayton VIC 3800, Australia; </w:t>
      </w:r>
      <w:r w:rsidRPr="00BA08B2">
        <w:rPr>
          <w:rFonts w:ascii="Calibri" w:eastAsia="宋体" w:hAnsi="Calibri"/>
          <w:sz w:val="22"/>
          <w:szCs w:val="22"/>
          <w:vertAlign w:val="superscript"/>
          <w:lang w:eastAsia="zh-CN"/>
        </w:rPr>
        <w:t>B</w:t>
      </w:r>
      <w:r w:rsidRPr="00BA08B2">
        <w:rPr>
          <w:rFonts w:ascii="Calibri" w:eastAsia="宋体" w:hAnsi="Calibri"/>
          <w:sz w:val="22"/>
          <w:szCs w:val="22"/>
          <w:vertAlign w:val="superscript"/>
          <w:lang w:eastAsia="zh-CN"/>
        </w:rPr>
        <w:t xml:space="preserve"> </w:t>
      </w:r>
      <w:r w:rsidRPr="00BA08B2">
        <w:rPr>
          <w:rFonts w:ascii="Calibri" w:eastAsia="宋体" w:hAnsi="Calibri"/>
          <w:sz w:val="22"/>
          <w:szCs w:val="22"/>
          <w:lang w:eastAsia="zh-CN"/>
        </w:rPr>
        <w:t xml:space="preserve">Department of Applied Chemistry, </w:t>
      </w:r>
      <w:proofErr w:type="spellStart"/>
      <w:r w:rsidRPr="00BA08B2">
        <w:rPr>
          <w:rFonts w:ascii="Calibri" w:eastAsia="宋体" w:hAnsi="Calibri"/>
          <w:sz w:val="22"/>
          <w:szCs w:val="22"/>
          <w:lang w:eastAsia="zh-CN"/>
        </w:rPr>
        <w:t>Waseda</w:t>
      </w:r>
      <w:proofErr w:type="spellEnd"/>
      <w:r w:rsidRPr="00BA08B2">
        <w:rPr>
          <w:rFonts w:ascii="Calibri" w:eastAsia="宋体" w:hAnsi="Calibri"/>
          <w:sz w:val="22"/>
          <w:szCs w:val="22"/>
          <w:lang w:eastAsia="zh-CN"/>
        </w:rPr>
        <w:t xml:space="preserve"> University, 3-4-1 Okubo, Shinjuku, Tokyo 169-8555, Japan; </w:t>
      </w:r>
      <w:r w:rsidRPr="00BA08B2">
        <w:rPr>
          <w:rFonts w:ascii="Calibri" w:eastAsia="宋体" w:hAnsi="Calibri"/>
          <w:sz w:val="22"/>
          <w:szCs w:val="22"/>
          <w:vertAlign w:val="superscript"/>
          <w:lang w:eastAsia="zh-CN"/>
        </w:rPr>
        <w:t>C</w:t>
      </w:r>
      <w:r w:rsidRPr="00BA08B2">
        <w:rPr>
          <w:rFonts w:ascii="Calibri" w:eastAsia="宋体" w:hAnsi="Calibri"/>
          <w:sz w:val="22"/>
          <w:szCs w:val="22"/>
          <w:vertAlign w:val="superscript"/>
          <w:lang w:eastAsia="zh-CN"/>
        </w:rPr>
        <w:t xml:space="preserve"> </w:t>
      </w:r>
      <w:r w:rsidRPr="00BA08B2">
        <w:rPr>
          <w:rFonts w:ascii="Calibri" w:eastAsia="宋体" w:hAnsi="Calibri"/>
          <w:sz w:val="22"/>
          <w:szCs w:val="22"/>
          <w:lang w:eastAsia="zh-CN"/>
        </w:rPr>
        <w:t xml:space="preserve">School of Molecular Sciences, The University of Western Australia, 35 </w:t>
      </w:r>
      <w:proofErr w:type="spellStart"/>
      <w:r w:rsidRPr="00BA08B2">
        <w:rPr>
          <w:rFonts w:ascii="Calibri" w:eastAsia="宋体" w:hAnsi="Calibri"/>
          <w:sz w:val="22"/>
          <w:szCs w:val="22"/>
          <w:lang w:eastAsia="zh-CN"/>
        </w:rPr>
        <w:t>Stirling</w:t>
      </w:r>
      <w:proofErr w:type="spellEnd"/>
      <w:r w:rsidRPr="00BA08B2">
        <w:rPr>
          <w:rFonts w:ascii="Calibri" w:eastAsia="宋体" w:hAnsi="Calibri"/>
          <w:sz w:val="22"/>
          <w:szCs w:val="22"/>
          <w:lang w:eastAsia="zh-CN"/>
        </w:rPr>
        <w:t xml:space="preserve"> Hwy, Crawley WA 6009, Australia;</w:t>
      </w:r>
      <w:r w:rsidRPr="00BA08B2">
        <w:rPr>
          <w:rFonts w:ascii="Calibri" w:eastAsia="宋体" w:hAnsi="Calibri"/>
          <w:sz w:val="22"/>
          <w:szCs w:val="22"/>
          <w:lang w:eastAsia="zh-CN"/>
        </w:rPr>
        <w:t xml:space="preserve"> </w:t>
      </w:r>
      <w:r w:rsidRPr="00BA08B2">
        <w:rPr>
          <w:rFonts w:ascii="Calibri" w:eastAsia="宋体" w:hAnsi="Calibri"/>
          <w:sz w:val="22"/>
          <w:szCs w:val="22"/>
          <w:vertAlign w:val="superscript"/>
          <w:lang w:eastAsia="zh-CN"/>
        </w:rPr>
        <w:t>D</w:t>
      </w:r>
      <w:r w:rsidRPr="00BA08B2">
        <w:rPr>
          <w:rFonts w:ascii="Calibri" w:eastAsia="宋体" w:hAnsi="Calibri"/>
          <w:sz w:val="22"/>
          <w:szCs w:val="22"/>
          <w:vertAlign w:val="superscript"/>
          <w:lang w:eastAsia="zh-CN"/>
        </w:rPr>
        <w:t xml:space="preserve"> </w:t>
      </w:r>
      <w:r w:rsidRPr="00BA08B2">
        <w:rPr>
          <w:rFonts w:ascii="Calibri" w:eastAsia="宋体" w:hAnsi="Calibri"/>
          <w:sz w:val="22"/>
          <w:szCs w:val="22"/>
          <w:lang w:eastAsia="zh-CN"/>
        </w:rPr>
        <w:t xml:space="preserve">Department of Materials and Life Sciences, Sophia University, 7-1 </w:t>
      </w:r>
      <w:proofErr w:type="spellStart"/>
      <w:r w:rsidRPr="00BA08B2">
        <w:rPr>
          <w:rFonts w:ascii="Calibri" w:eastAsia="宋体" w:hAnsi="Calibri"/>
          <w:sz w:val="22"/>
          <w:szCs w:val="22"/>
          <w:lang w:eastAsia="zh-CN"/>
        </w:rPr>
        <w:t>Kioi-cho</w:t>
      </w:r>
      <w:proofErr w:type="spellEnd"/>
      <w:r w:rsidRPr="00BA08B2">
        <w:rPr>
          <w:rFonts w:ascii="Calibri" w:eastAsia="宋体" w:hAnsi="Calibri"/>
          <w:sz w:val="22"/>
          <w:szCs w:val="22"/>
          <w:lang w:eastAsia="zh-CN"/>
        </w:rPr>
        <w:t>, Chiyoda-</w:t>
      </w:r>
      <w:proofErr w:type="spellStart"/>
      <w:r w:rsidRPr="00BA08B2">
        <w:rPr>
          <w:rFonts w:ascii="Calibri" w:eastAsia="宋体" w:hAnsi="Calibri"/>
          <w:sz w:val="22"/>
          <w:szCs w:val="22"/>
          <w:lang w:eastAsia="zh-CN"/>
        </w:rPr>
        <w:t>ku</w:t>
      </w:r>
      <w:proofErr w:type="spellEnd"/>
      <w:r w:rsidRPr="00BA08B2">
        <w:rPr>
          <w:rFonts w:ascii="Calibri" w:eastAsia="宋体" w:hAnsi="Calibri"/>
          <w:sz w:val="22"/>
          <w:szCs w:val="22"/>
          <w:lang w:eastAsia="zh-CN"/>
        </w:rPr>
        <w:t>, Tokyo 102-8554, Japan.</w:t>
      </w:r>
    </w:p>
    <w:p w14:paraId="05E17889" w14:textId="4755820D" w:rsidR="00711813" w:rsidRPr="006B3866" w:rsidRDefault="00711813" w:rsidP="009A4CFF">
      <w:pPr>
        <w:pStyle w:val="Default"/>
        <w:ind w:left="284" w:right="282"/>
        <w:jc w:val="both"/>
        <w:rPr>
          <w:color w:val="auto"/>
          <w:sz w:val="22"/>
          <w:szCs w:val="22"/>
          <w:lang w:val="en-AU"/>
        </w:rPr>
      </w:pPr>
    </w:p>
    <w:p w14:paraId="645FF112" w14:textId="4D124F27" w:rsidR="00BA08B2" w:rsidRDefault="00BA08B2" w:rsidP="00BA08B2">
      <w:pPr>
        <w:pStyle w:val="TRANSTextbody"/>
        <w:rPr>
          <w:rFonts w:ascii="Calibri" w:eastAsia="宋体" w:hAnsi="Calibri"/>
          <w:szCs w:val="22"/>
          <w:lang w:eastAsia="zh-CN"/>
        </w:rPr>
      </w:pPr>
      <w:r w:rsidRPr="00BA08B2">
        <w:rPr>
          <w:rFonts w:ascii="Calibri" w:eastAsia="宋体" w:hAnsi="Calibri"/>
          <w:szCs w:val="22"/>
          <w:lang w:eastAsia="zh-CN"/>
        </w:rPr>
        <w:t xml:space="preserve">Ionic liquids have been shown to successfully replace traditional electrolytes electrochemical devices such as </w:t>
      </w:r>
      <w:r>
        <w:rPr>
          <w:rFonts w:ascii="Calibri" w:eastAsia="宋体" w:hAnsi="Calibri"/>
          <w:szCs w:val="22"/>
          <w:lang w:eastAsia="zh-CN"/>
        </w:rPr>
        <w:t xml:space="preserve">metal-ion </w:t>
      </w:r>
      <w:r w:rsidRPr="00BA08B2">
        <w:rPr>
          <w:rFonts w:ascii="Calibri" w:eastAsia="宋体" w:hAnsi="Calibri"/>
          <w:szCs w:val="22"/>
          <w:lang w:eastAsia="zh-CN"/>
        </w:rPr>
        <w:t>batteries and solar cells. Particular interest has been paid to the improvement of performance, stability and longevity of metal-ion batteries using either lithium or sodium electrodes. Applications of organic-based electrodes based on polymers are relatively scarce due to their reduced electrochemical stability. Polymers synthesized from nitroxide or phenol radicals represent the most researched electrode materials to-date, with some showing significant promise. Nitroxide-based polymers have been successfully applied as a cathode material, reaching the operating potential of &gt; 3.5 eV when paired with a lithium anode.</w:t>
      </w:r>
      <w:r w:rsidRPr="00BA08B2">
        <w:rPr>
          <w:rFonts w:ascii="Calibri" w:eastAsia="宋体" w:hAnsi="Calibri"/>
          <w:szCs w:val="22"/>
          <w:vertAlign w:val="superscript"/>
          <w:lang w:eastAsia="zh-CN"/>
        </w:rPr>
        <w:t>1,2</w:t>
      </w:r>
      <w:r w:rsidRPr="00BA08B2">
        <w:rPr>
          <w:rFonts w:ascii="Calibri" w:eastAsia="宋体" w:hAnsi="Calibri"/>
          <w:szCs w:val="22"/>
          <w:lang w:eastAsia="zh-CN"/>
        </w:rPr>
        <w:t xml:space="preserve"> Due to the susceptibility of nitroxide radicals to undergo hydrogen transfer reactions, their reduced form has been particularly difficult to stabilize in traditional electrolytes, thus limiting the advancement of nitroxide polymers as </w:t>
      </w:r>
      <w:r w:rsidR="00C6717F">
        <w:rPr>
          <w:rFonts w:ascii="Calibri" w:eastAsia="宋体" w:hAnsi="Calibri"/>
          <w:szCs w:val="22"/>
          <w:lang w:eastAsia="zh-CN"/>
        </w:rPr>
        <w:t>both cathode and anode material.</w:t>
      </w:r>
    </w:p>
    <w:p w14:paraId="7448C5A0" w14:textId="77777777" w:rsidR="008F748F" w:rsidRPr="00BA08B2" w:rsidRDefault="008F748F" w:rsidP="00BA08B2">
      <w:pPr>
        <w:pStyle w:val="TRANSTextbody"/>
        <w:rPr>
          <w:rFonts w:ascii="Calibri" w:eastAsia="宋体" w:hAnsi="Calibri"/>
          <w:szCs w:val="22"/>
          <w:lang w:eastAsia="zh-CN"/>
        </w:rPr>
      </w:pPr>
      <w:bookmarkStart w:id="0" w:name="_GoBack"/>
      <w:bookmarkEnd w:id="0"/>
    </w:p>
    <w:p w14:paraId="4FB0382C" w14:textId="2F24F8D7" w:rsidR="00BA08B2" w:rsidRPr="00BA08B2" w:rsidRDefault="00BA08B2" w:rsidP="00BA08B2">
      <w:pPr>
        <w:pStyle w:val="TRANSTextbody"/>
        <w:rPr>
          <w:rFonts w:ascii="Calibri" w:hAnsi="Calibri"/>
          <w:szCs w:val="22"/>
        </w:rPr>
      </w:pPr>
      <w:r w:rsidRPr="00BA08B2">
        <w:rPr>
          <w:rFonts w:ascii="Calibri" w:eastAsia="宋体" w:hAnsi="Calibri"/>
          <w:szCs w:val="22"/>
          <w:lang w:eastAsia="zh-CN"/>
        </w:rPr>
        <w:t>Recently in our group we have discovered that ionic liquids provide an ideal medium for stabilizing organic radicals, including carbon-based and nitroxides.</w:t>
      </w:r>
      <w:r w:rsidRPr="00BA08B2">
        <w:rPr>
          <w:rFonts w:ascii="Calibri" w:eastAsia="宋体" w:hAnsi="Calibri"/>
          <w:szCs w:val="22"/>
          <w:vertAlign w:val="superscript"/>
          <w:lang w:eastAsia="zh-CN"/>
        </w:rPr>
        <w:t>3,4</w:t>
      </w:r>
      <w:r w:rsidRPr="00BA08B2">
        <w:rPr>
          <w:rFonts w:ascii="Calibri" w:eastAsia="宋体" w:hAnsi="Calibri"/>
          <w:szCs w:val="22"/>
          <w:lang w:eastAsia="zh-CN"/>
        </w:rPr>
        <w:t xml:space="preserve"> This stability is achieved due to a strong interaction existing between a nitroxide radical and the ionic liquid cation. This interaction, driven by dispersion forces, has been successfully confirmed in EPR experiments.</w:t>
      </w:r>
      <w:r w:rsidRPr="00BA08B2">
        <w:rPr>
          <w:rFonts w:ascii="Calibri" w:eastAsia="宋体" w:hAnsi="Calibri"/>
          <w:szCs w:val="22"/>
          <w:vertAlign w:val="superscript"/>
          <w:lang w:eastAsia="zh-CN"/>
        </w:rPr>
        <w:t>4</w:t>
      </w:r>
      <w:r w:rsidRPr="00BA08B2">
        <w:rPr>
          <w:rFonts w:ascii="Calibri" w:eastAsia="宋体" w:hAnsi="Calibri"/>
          <w:szCs w:val="22"/>
          <w:lang w:eastAsia="zh-CN"/>
        </w:rPr>
        <w:t xml:space="preserve"> We have further explored this concept of imparting stabilization on nitroxide radicals by improving both reduction and oxidation potentials in imidazolium- and </w:t>
      </w:r>
      <w:proofErr w:type="spellStart"/>
      <w:r w:rsidRPr="00BA08B2">
        <w:rPr>
          <w:rFonts w:ascii="Calibri" w:eastAsia="宋体" w:hAnsi="Calibri"/>
          <w:szCs w:val="22"/>
          <w:lang w:eastAsia="zh-CN"/>
        </w:rPr>
        <w:t>pyrrolidinium</w:t>
      </w:r>
      <w:proofErr w:type="spellEnd"/>
      <w:r w:rsidRPr="00BA08B2">
        <w:rPr>
          <w:rFonts w:ascii="Calibri" w:eastAsia="宋体" w:hAnsi="Calibri"/>
          <w:szCs w:val="22"/>
          <w:lang w:eastAsia="zh-CN"/>
        </w:rPr>
        <w:t>-based ionic liquids.</w:t>
      </w:r>
      <w:r w:rsidRPr="00BA08B2">
        <w:rPr>
          <w:rFonts w:ascii="Calibri" w:eastAsia="宋体" w:hAnsi="Calibri"/>
          <w:szCs w:val="22"/>
          <w:vertAlign w:val="superscript"/>
          <w:lang w:eastAsia="zh-CN"/>
        </w:rPr>
        <w:t>5</w:t>
      </w:r>
      <w:r w:rsidRPr="00BA08B2">
        <w:rPr>
          <w:rFonts w:ascii="Calibri" w:eastAsia="宋体" w:hAnsi="Calibri"/>
          <w:szCs w:val="22"/>
          <w:lang w:eastAsia="zh-CN"/>
        </w:rPr>
        <w:t xml:space="preserve"> In the case of the TEMPO radical, redox potentials were predicted to reach up to 5.5 eV in </w:t>
      </w:r>
      <w:proofErr w:type="spellStart"/>
      <w:r w:rsidRPr="00BA08B2">
        <w:rPr>
          <w:rFonts w:ascii="Calibri" w:eastAsia="宋体" w:hAnsi="Calibri"/>
          <w:szCs w:val="22"/>
          <w:lang w:eastAsia="zh-CN"/>
        </w:rPr>
        <w:t>pyrrolidinium</w:t>
      </w:r>
      <w:proofErr w:type="spellEnd"/>
      <w:r w:rsidRPr="00BA08B2">
        <w:rPr>
          <w:rFonts w:ascii="Calibri" w:eastAsia="宋体" w:hAnsi="Calibri"/>
          <w:szCs w:val="22"/>
          <w:lang w:eastAsia="zh-CN"/>
        </w:rPr>
        <w:t xml:space="preserve"> ionic liquids compared to that of 2.2 eV observed for TEMPO in aqueous electrolytes. More importantly, the reduced form of the TEMPO radical – the </w:t>
      </w:r>
      <w:proofErr w:type="spellStart"/>
      <w:r w:rsidRPr="00BA08B2">
        <w:rPr>
          <w:rFonts w:ascii="Calibri" w:eastAsia="宋体" w:hAnsi="Calibri"/>
          <w:szCs w:val="22"/>
          <w:lang w:eastAsia="zh-CN"/>
        </w:rPr>
        <w:t>aminoxy</w:t>
      </w:r>
      <w:proofErr w:type="spellEnd"/>
      <w:r w:rsidRPr="00BA08B2">
        <w:rPr>
          <w:rFonts w:ascii="Calibri" w:eastAsia="宋体" w:hAnsi="Calibri"/>
          <w:szCs w:val="22"/>
          <w:lang w:eastAsia="zh-CN"/>
        </w:rPr>
        <w:t xml:space="preserve"> anion - was found to be very stable in the presence of ionic liquid ions. This unprecedented stability was further confirmed by experiment, showcasing a new strategy for </w:t>
      </w:r>
      <w:r w:rsidR="00451BDE">
        <w:rPr>
          <w:rFonts w:ascii="Calibri" w:eastAsia="宋体" w:hAnsi="Calibri"/>
          <w:szCs w:val="22"/>
          <w:lang w:eastAsia="zh-CN"/>
        </w:rPr>
        <w:t xml:space="preserve">the </w:t>
      </w:r>
      <w:r w:rsidRPr="00BA08B2">
        <w:rPr>
          <w:rFonts w:ascii="Calibri" w:eastAsia="宋体" w:hAnsi="Calibri"/>
          <w:szCs w:val="22"/>
          <w:lang w:eastAsia="zh-CN"/>
        </w:rPr>
        <w:t xml:space="preserve">development of all-organic radical batteries. </w:t>
      </w:r>
    </w:p>
    <w:p w14:paraId="3667DAC2" w14:textId="77777777" w:rsidR="00BA08B2" w:rsidRPr="00BA08B2" w:rsidRDefault="00BA08B2" w:rsidP="00BA08B2">
      <w:pPr>
        <w:rPr>
          <w:rFonts w:ascii="Calibri" w:hAnsi="Calibri"/>
          <w:sz w:val="22"/>
          <w:szCs w:val="22"/>
          <w:lang w:eastAsia="ko-KR"/>
        </w:rPr>
      </w:pPr>
    </w:p>
    <w:p w14:paraId="49401819" w14:textId="77777777" w:rsidR="00BA08B2" w:rsidRPr="00BA08B2" w:rsidRDefault="00BA08B2" w:rsidP="00BA08B2">
      <w:pPr>
        <w:rPr>
          <w:rFonts w:ascii="Calibri" w:eastAsia="宋体" w:hAnsi="Calibri"/>
          <w:b/>
          <w:sz w:val="22"/>
          <w:szCs w:val="22"/>
          <w:lang w:eastAsia="zh-CN"/>
        </w:rPr>
      </w:pPr>
      <w:r w:rsidRPr="00BA08B2">
        <w:rPr>
          <w:rFonts w:ascii="Calibri" w:hAnsi="Calibri"/>
          <w:b/>
          <w:sz w:val="22"/>
          <w:szCs w:val="22"/>
          <w:lang w:eastAsia="ko-KR"/>
        </w:rPr>
        <w:t>References</w:t>
      </w:r>
    </w:p>
    <w:p w14:paraId="3AE945D5" w14:textId="69D9AFE3" w:rsidR="00BA08B2" w:rsidRPr="00BA08B2" w:rsidRDefault="00BA08B2" w:rsidP="00BA08B2">
      <w:pPr>
        <w:ind w:left="330" w:hangingChars="150" w:hanging="330"/>
        <w:jc w:val="both"/>
        <w:rPr>
          <w:rFonts w:ascii="Calibri" w:eastAsia="宋体" w:hAnsi="Calibri" w:cs="Arial"/>
          <w:color w:val="333333"/>
          <w:sz w:val="22"/>
          <w:szCs w:val="22"/>
          <w:lang w:eastAsia="zh-Hans"/>
        </w:rPr>
      </w:pPr>
      <w:r>
        <w:rPr>
          <w:rFonts w:ascii="Calibri" w:hAnsi="Calibri"/>
          <w:sz w:val="22"/>
          <w:szCs w:val="22"/>
        </w:rPr>
        <w:t>1.</w:t>
      </w:r>
      <w:r w:rsidRPr="00BA08B2">
        <w:rPr>
          <w:rFonts w:ascii="Calibri" w:hAnsi="Calibri"/>
          <w:sz w:val="22"/>
          <w:szCs w:val="22"/>
        </w:rPr>
        <w:t xml:space="preserve"> </w:t>
      </w:r>
      <w:r w:rsidRPr="00BA08B2">
        <w:rPr>
          <w:rFonts w:ascii="Calibri" w:hAnsi="Calibri"/>
          <w:noProof/>
          <w:sz w:val="22"/>
          <w:szCs w:val="22"/>
        </w:rPr>
        <w:t xml:space="preserve">Nakahara, K.; Oyaizu, K.; Nishide, H., Organic radical battery approaching practical use. </w:t>
      </w:r>
      <w:r w:rsidRPr="00BA08B2">
        <w:rPr>
          <w:rFonts w:ascii="Calibri" w:hAnsi="Calibri"/>
          <w:i/>
          <w:noProof/>
          <w:sz w:val="22"/>
          <w:szCs w:val="22"/>
        </w:rPr>
        <w:t xml:space="preserve">Chem. Lett. </w:t>
      </w:r>
      <w:r w:rsidRPr="00BA08B2">
        <w:rPr>
          <w:rFonts w:ascii="Calibri" w:hAnsi="Calibri"/>
          <w:b/>
          <w:noProof/>
          <w:sz w:val="22"/>
          <w:szCs w:val="22"/>
        </w:rPr>
        <w:t>2011,</w:t>
      </w:r>
      <w:r w:rsidRPr="00BA08B2">
        <w:rPr>
          <w:rFonts w:ascii="Calibri" w:hAnsi="Calibri"/>
          <w:noProof/>
          <w:sz w:val="22"/>
          <w:szCs w:val="22"/>
        </w:rPr>
        <w:t xml:space="preserve"> </w:t>
      </w:r>
      <w:r w:rsidRPr="00BA08B2">
        <w:rPr>
          <w:rFonts w:ascii="Calibri" w:hAnsi="Calibri"/>
          <w:i/>
          <w:noProof/>
          <w:sz w:val="22"/>
          <w:szCs w:val="22"/>
        </w:rPr>
        <w:t>40</w:t>
      </w:r>
      <w:r w:rsidRPr="00BA08B2">
        <w:rPr>
          <w:rFonts w:ascii="Calibri" w:hAnsi="Calibri"/>
          <w:noProof/>
          <w:sz w:val="22"/>
          <w:szCs w:val="22"/>
        </w:rPr>
        <w:t xml:space="preserve"> (3), 222-227. </w:t>
      </w:r>
    </w:p>
    <w:p w14:paraId="2228D28C" w14:textId="592F89F2" w:rsidR="00BA08B2" w:rsidRPr="00BA08B2" w:rsidRDefault="00BA08B2" w:rsidP="00BA08B2">
      <w:pPr>
        <w:ind w:left="330" w:hangingChars="150" w:hanging="330"/>
        <w:jc w:val="both"/>
        <w:rPr>
          <w:rFonts w:ascii="Calibri" w:hAnsi="Calibri"/>
          <w:sz w:val="22"/>
          <w:szCs w:val="22"/>
        </w:rPr>
      </w:pPr>
      <w:r>
        <w:rPr>
          <w:rFonts w:ascii="Calibri" w:hAnsi="Calibri"/>
          <w:sz w:val="22"/>
          <w:szCs w:val="22"/>
        </w:rPr>
        <w:t xml:space="preserve">2. </w:t>
      </w:r>
      <w:r w:rsidRPr="00BA08B2">
        <w:rPr>
          <w:rFonts w:ascii="Calibri" w:hAnsi="Calibri"/>
          <w:sz w:val="22"/>
          <w:szCs w:val="22"/>
        </w:rPr>
        <w:t xml:space="preserve"> </w:t>
      </w:r>
      <w:r w:rsidRPr="00BA08B2">
        <w:rPr>
          <w:rFonts w:ascii="Calibri" w:hAnsi="Calibri"/>
          <w:noProof/>
          <w:sz w:val="22"/>
          <w:szCs w:val="22"/>
        </w:rPr>
        <w:t xml:space="preserve">Hansen, K.-A.; Nerkar, J.; Thomas, K.; Bottle, S. E.; O'Mullane, A. P.; Talbot, P. C.; Blinco, J. P., New Spin on Organic Radical Batteries-An Isoindoline Nitroxide-Based High-Voltage Cathode Material. </w:t>
      </w:r>
      <w:r w:rsidRPr="00BA08B2">
        <w:rPr>
          <w:rFonts w:ascii="Calibri" w:hAnsi="Calibri"/>
          <w:i/>
          <w:noProof/>
          <w:sz w:val="22"/>
          <w:szCs w:val="22"/>
        </w:rPr>
        <w:t xml:space="preserve">ACS Appl. Mater. Interfaces </w:t>
      </w:r>
      <w:r w:rsidRPr="00BA08B2">
        <w:rPr>
          <w:rFonts w:ascii="Calibri" w:hAnsi="Calibri"/>
          <w:b/>
          <w:noProof/>
          <w:sz w:val="22"/>
          <w:szCs w:val="22"/>
        </w:rPr>
        <w:t>2018,</w:t>
      </w:r>
      <w:r w:rsidRPr="00BA08B2">
        <w:rPr>
          <w:rFonts w:ascii="Calibri" w:hAnsi="Calibri"/>
          <w:noProof/>
          <w:sz w:val="22"/>
          <w:szCs w:val="22"/>
        </w:rPr>
        <w:t xml:space="preserve"> </w:t>
      </w:r>
      <w:r w:rsidRPr="00BA08B2">
        <w:rPr>
          <w:rFonts w:ascii="Calibri" w:hAnsi="Calibri"/>
          <w:i/>
          <w:noProof/>
          <w:sz w:val="22"/>
          <w:szCs w:val="22"/>
        </w:rPr>
        <w:t>10</w:t>
      </w:r>
      <w:r w:rsidRPr="00BA08B2">
        <w:rPr>
          <w:rFonts w:ascii="Calibri" w:hAnsi="Calibri"/>
          <w:noProof/>
          <w:sz w:val="22"/>
          <w:szCs w:val="22"/>
        </w:rPr>
        <w:t xml:space="preserve"> (9), 7982.</w:t>
      </w:r>
      <w:r w:rsidRPr="00BA08B2">
        <w:rPr>
          <w:rFonts w:ascii="Calibri" w:hAnsi="Calibri"/>
          <w:sz w:val="22"/>
          <w:szCs w:val="22"/>
        </w:rPr>
        <w:t xml:space="preserve"> </w:t>
      </w:r>
    </w:p>
    <w:p w14:paraId="13221A5B" w14:textId="27B14B58" w:rsidR="00BA08B2" w:rsidRPr="00BA08B2" w:rsidRDefault="00BA08B2" w:rsidP="00BA08B2">
      <w:pPr>
        <w:ind w:left="330" w:hangingChars="150" w:hanging="330"/>
        <w:jc w:val="both"/>
        <w:rPr>
          <w:rFonts w:ascii="Calibri" w:hAnsi="Calibri"/>
          <w:sz w:val="22"/>
          <w:szCs w:val="22"/>
          <w:lang w:val="en-GB" w:eastAsia="ko-KR"/>
        </w:rPr>
      </w:pPr>
      <w:r>
        <w:rPr>
          <w:rFonts w:ascii="Calibri" w:hAnsi="Calibri"/>
          <w:sz w:val="22"/>
          <w:szCs w:val="22"/>
        </w:rPr>
        <w:t>3.</w:t>
      </w:r>
      <w:r w:rsidRPr="00BA08B2">
        <w:rPr>
          <w:rFonts w:ascii="Calibri" w:hAnsi="Calibri"/>
          <w:sz w:val="22"/>
          <w:szCs w:val="22"/>
        </w:rPr>
        <w:t xml:space="preserve"> </w:t>
      </w:r>
      <w:r>
        <w:rPr>
          <w:rFonts w:ascii="Calibri" w:hAnsi="Calibri"/>
          <w:sz w:val="22"/>
          <w:szCs w:val="22"/>
        </w:rPr>
        <w:t xml:space="preserve"> </w:t>
      </w:r>
      <w:r w:rsidRPr="00BA08B2">
        <w:rPr>
          <w:rFonts w:ascii="Calibri" w:hAnsi="Calibri"/>
          <w:sz w:val="22"/>
          <w:szCs w:val="22"/>
          <w:lang w:eastAsia="ko-KR"/>
        </w:rPr>
        <w:t xml:space="preserve">Low, K.; Wylie, L.; Scarborough, D. L. A.; </w:t>
      </w:r>
      <w:proofErr w:type="spellStart"/>
      <w:r w:rsidRPr="00BA08B2">
        <w:rPr>
          <w:rFonts w:ascii="Calibri" w:hAnsi="Calibri"/>
          <w:sz w:val="22"/>
          <w:szCs w:val="22"/>
          <w:lang w:eastAsia="ko-KR"/>
        </w:rPr>
        <w:t>Izgorodina</w:t>
      </w:r>
      <w:proofErr w:type="spellEnd"/>
      <w:r w:rsidRPr="00BA08B2">
        <w:rPr>
          <w:rFonts w:ascii="Calibri" w:hAnsi="Calibri"/>
          <w:sz w:val="22"/>
          <w:szCs w:val="22"/>
          <w:lang w:eastAsia="ko-KR"/>
        </w:rPr>
        <w:t xml:space="preserve">, E. I. </w:t>
      </w:r>
      <w:r w:rsidRPr="00BA08B2">
        <w:rPr>
          <w:rFonts w:ascii="Calibri" w:hAnsi="Calibri"/>
          <w:sz w:val="22"/>
          <w:szCs w:val="22"/>
          <w:lang w:val="en-GB" w:eastAsia="ko-KR"/>
        </w:rPr>
        <w:t>Is it possible to control kinetic rates of radical polymerisation in ionic liquids?</w:t>
      </w:r>
      <w:r w:rsidRPr="00BA08B2">
        <w:rPr>
          <w:rFonts w:ascii="Calibri" w:hAnsi="Calibri"/>
          <w:sz w:val="22"/>
          <w:szCs w:val="22"/>
          <w:lang w:eastAsia="ko-KR"/>
        </w:rPr>
        <w:t xml:space="preserve"> </w:t>
      </w:r>
      <w:r w:rsidRPr="00BA08B2">
        <w:rPr>
          <w:rFonts w:ascii="Calibri" w:hAnsi="Calibri"/>
          <w:i/>
          <w:iCs/>
          <w:sz w:val="22"/>
          <w:szCs w:val="22"/>
          <w:lang w:eastAsia="ko-KR"/>
        </w:rPr>
        <w:t xml:space="preserve">Chemical Communications, </w:t>
      </w:r>
      <w:r w:rsidRPr="00BA08B2">
        <w:rPr>
          <w:rFonts w:ascii="Calibri" w:hAnsi="Calibri"/>
          <w:b/>
          <w:iCs/>
          <w:sz w:val="22"/>
          <w:szCs w:val="22"/>
          <w:lang w:eastAsia="ko-KR"/>
        </w:rPr>
        <w:t>BACK COVER</w:t>
      </w:r>
      <w:r w:rsidRPr="00BA08B2">
        <w:rPr>
          <w:rFonts w:ascii="Calibri" w:hAnsi="Calibri"/>
          <w:i/>
          <w:iCs/>
          <w:sz w:val="22"/>
          <w:szCs w:val="22"/>
          <w:lang w:eastAsia="ko-KR"/>
        </w:rPr>
        <w:t xml:space="preserve">, </w:t>
      </w:r>
      <w:r w:rsidRPr="00BA08B2">
        <w:rPr>
          <w:rFonts w:ascii="Calibri" w:hAnsi="Calibri"/>
          <w:b/>
          <w:bCs/>
          <w:sz w:val="22"/>
          <w:szCs w:val="22"/>
          <w:lang w:eastAsia="ko-KR"/>
        </w:rPr>
        <w:t>2018</w:t>
      </w:r>
      <w:r w:rsidRPr="00BA08B2">
        <w:rPr>
          <w:rFonts w:ascii="Calibri" w:hAnsi="Calibri"/>
          <w:bCs/>
          <w:sz w:val="22"/>
          <w:szCs w:val="22"/>
          <w:lang w:eastAsia="ko-KR"/>
        </w:rPr>
        <w:t>,</w:t>
      </w:r>
      <w:r w:rsidRPr="00BA08B2">
        <w:rPr>
          <w:rFonts w:ascii="Calibri" w:hAnsi="Calibri"/>
          <w:sz w:val="22"/>
          <w:szCs w:val="22"/>
          <w:lang w:eastAsia="ko-KR"/>
        </w:rPr>
        <w:t xml:space="preserve"> </w:t>
      </w:r>
      <w:r w:rsidRPr="00BA08B2">
        <w:rPr>
          <w:rFonts w:ascii="Calibri" w:hAnsi="Calibri"/>
          <w:i/>
          <w:iCs/>
          <w:sz w:val="22"/>
          <w:szCs w:val="22"/>
          <w:lang w:eastAsia="ko-KR"/>
        </w:rPr>
        <w:t>54</w:t>
      </w:r>
      <w:r w:rsidRPr="00BA08B2">
        <w:rPr>
          <w:rFonts w:ascii="Calibri" w:hAnsi="Calibri"/>
          <w:sz w:val="22"/>
          <w:szCs w:val="22"/>
          <w:lang w:eastAsia="ko-KR"/>
        </w:rPr>
        <w:t xml:space="preserve"> (80), 11226-11243.</w:t>
      </w:r>
    </w:p>
    <w:p w14:paraId="1E59D234" w14:textId="14BA146B" w:rsidR="00BA08B2" w:rsidRPr="00BA08B2" w:rsidRDefault="00BA08B2" w:rsidP="00BA08B2">
      <w:pPr>
        <w:ind w:left="330" w:hangingChars="150" w:hanging="330"/>
        <w:jc w:val="both"/>
        <w:rPr>
          <w:rFonts w:ascii="Calibri" w:hAnsi="Calibri"/>
          <w:sz w:val="22"/>
          <w:szCs w:val="22"/>
          <w:lang w:val="en-GB" w:eastAsia="ko-KR"/>
        </w:rPr>
      </w:pPr>
      <w:r>
        <w:rPr>
          <w:rFonts w:ascii="Calibri" w:hAnsi="Calibri"/>
          <w:sz w:val="22"/>
          <w:szCs w:val="22"/>
        </w:rPr>
        <w:t xml:space="preserve">4.  </w:t>
      </w:r>
      <w:r w:rsidRPr="00BA08B2">
        <w:rPr>
          <w:rFonts w:ascii="Calibri" w:hAnsi="Calibri"/>
          <w:sz w:val="22"/>
          <w:szCs w:val="22"/>
          <w:lang w:eastAsia="ko-KR"/>
        </w:rPr>
        <w:t xml:space="preserve">Wylie, L.; Seeger, Z. L.; Hancock, A. N.; </w:t>
      </w:r>
      <w:proofErr w:type="spellStart"/>
      <w:r w:rsidRPr="00BA08B2">
        <w:rPr>
          <w:rFonts w:ascii="Calibri" w:hAnsi="Calibri"/>
          <w:sz w:val="22"/>
          <w:szCs w:val="22"/>
          <w:lang w:eastAsia="ko-KR"/>
        </w:rPr>
        <w:t>Izgorodina</w:t>
      </w:r>
      <w:proofErr w:type="spellEnd"/>
      <w:r w:rsidRPr="00BA08B2">
        <w:rPr>
          <w:rFonts w:ascii="Calibri" w:hAnsi="Calibri"/>
          <w:sz w:val="22"/>
          <w:szCs w:val="22"/>
          <w:lang w:eastAsia="ko-KR"/>
        </w:rPr>
        <w:t xml:space="preserve">, E. I. </w:t>
      </w:r>
      <w:r w:rsidRPr="00BA08B2">
        <w:rPr>
          <w:rFonts w:ascii="Calibri" w:hAnsi="Calibri"/>
          <w:sz w:val="22"/>
          <w:szCs w:val="22"/>
          <w:lang w:val="en-GB" w:eastAsia="ko-KR"/>
        </w:rPr>
        <w:t>Increased stability of nitroxide radicals in ionic liquids: more than a viscosity effect.</w:t>
      </w:r>
      <w:r w:rsidRPr="00BA08B2">
        <w:rPr>
          <w:rFonts w:ascii="Calibri" w:hAnsi="Calibri"/>
          <w:sz w:val="22"/>
          <w:szCs w:val="22"/>
          <w:lang w:eastAsia="ko-KR"/>
        </w:rPr>
        <w:t xml:space="preserve"> </w:t>
      </w:r>
      <w:r w:rsidRPr="00BA08B2">
        <w:rPr>
          <w:rFonts w:ascii="Calibri" w:hAnsi="Calibri"/>
          <w:i/>
          <w:iCs/>
          <w:sz w:val="22"/>
          <w:szCs w:val="22"/>
          <w:lang w:eastAsia="ko-KR"/>
        </w:rPr>
        <w:t xml:space="preserve">Physical Chemistry Chemical Physics, </w:t>
      </w:r>
      <w:r w:rsidRPr="00BA08B2">
        <w:rPr>
          <w:rFonts w:ascii="Calibri" w:hAnsi="Calibri"/>
          <w:b/>
          <w:iCs/>
          <w:sz w:val="22"/>
          <w:szCs w:val="22"/>
          <w:lang w:eastAsia="ko-KR"/>
        </w:rPr>
        <w:t>BACK COVER</w:t>
      </w:r>
      <w:r w:rsidRPr="00BA08B2">
        <w:rPr>
          <w:rFonts w:ascii="Calibri" w:hAnsi="Calibri"/>
          <w:i/>
          <w:iCs/>
          <w:sz w:val="22"/>
          <w:szCs w:val="22"/>
          <w:lang w:eastAsia="ko-KR"/>
        </w:rPr>
        <w:t xml:space="preserve">, </w:t>
      </w:r>
      <w:r w:rsidRPr="00BA08B2">
        <w:rPr>
          <w:rFonts w:ascii="Calibri" w:hAnsi="Calibri"/>
          <w:bCs/>
          <w:sz w:val="22"/>
          <w:szCs w:val="22"/>
          <w:lang w:eastAsia="ko-KR"/>
        </w:rPr>
        <w:t>2019,</w:t>
      </w:r>
      <w:r w:rsidRPr="00BA08B2">
        <w:rPr>
          <w:rFonts w:ascii="Calibri" w:hAnsi="Calibri"/>
          <w:sz w:val="22"/>
          <w:szCs w:val="22"/>
          <w:lang w:eastAsia="ko-KR"/>
        </w:rPr>
        <w:t xml:space="preserve"> </w:t>
      </w:r>
      <w:r w:rsidRPr="00BA08B2">
        <w:rPr>
          <w:rFonts w:ascii="Calibri" w:hAnsi="Calibri"/>
          <w:i/>
          <w:iCs/>
          <w:sz w:val="22"/>
          <w:szCs w:val="22"/>
          <w:lang w:eastAsia="ko-KR"/>
        </w:rPr>
        <w:t>21</w:t>
      </w:r>
      <w:r w:rsidRPr="00BA08B2">
        <w:rPr>
          <w:rFonts w:ascii="Calibri" w:hAnsi="Calibri"/>
          <w:sz w:val="22"/>
          <w:szCs w:val="22"/>
          <w:lang w:eastAsia="ko-KR"/>
        </w:rPr>
        <w:t xml:space="preserve"> (6), 2882-2888.</w:t>
      </w:r>
    </w:p>
    <w:p w14:paraId="76E1D0C1" w14:textId="1FFC916D" w:rsidR="00BA08B2" w:rsidRPr="00BA08B2" w:rsidRDefault="00BA08B2" w:rsidP="00BA08B2">
      <w:pPr>
        <w:ind w:left="330" w:hangingChars="150" w:hanging="330"/>
        <w:jc w:val="both"/>
        <w:rPr>
          <w:rFonts w:ascii="Calibri" w:hAnsi="Calibri"/>
          <w:sz w:val="22"/>
          <w:szCs w:val="22"/>
          <w:lang w:val="en-GB" w:eastAsia="ko-KR"/>
        </w:rPr>
      </w:pPr>
      <w:r>
        <w:rPr>
          <w:rFonts w:ascii="Calibri" w:hAnsi="Calibri"/>
          <w:sz w:val="22"/>
          <w:szCs w:val="22"/>
        </w:rPr>
        <w:t xml:space="preserve">5. </w:t>
      </w:r>
      <w:r w:rsidRPr="00BA08B2">
        <w:rPr>
          <w:rFonts w:ascii="Calibri" w:hAnsi="Calibri"/>
          <w:sz w:val="22"/>
          <w:szCs w:val="22"/>
          <w:lang w:val="en-GB" w:eastAsia="ko-KR"/>
        </w:rPr>
        <w:t>Wylie,</w:t>
      </w:r>
      <w:r>
        <w:rPr>
          <w:rFonts w:ascii="Calibri" w:hAnsi="Calibri"/>
          <w:sz w:val="22"/>
          <w:szCs w:val="22"/>
          <w:lang w:val="en-GB" w:eastAsia="ko-KR"/>
        </w:rPr>
        <w:t xml:space="preserve"> L;</w:t>
      </w:r>
      <w:r w:rsidRPr="00BA08B2">
        <w:rPr>
          <w:rFonts w:ascii="Calibri" w:hAnsi="Calibri"/>
          <w:sz w:val="22"/>
          <w:szCs w:val="22"/>
          <w:lang w:val="en-GB" w:eastAsia="ko-KR"/>
        </w:rPr>
        <w:t xml:space="preserve"> Oyaizu,</w:t>
      </w:r>
      <w:r>
        <w:rPr>
          <w:rFonts w:ascii="Calibri" w:hAnsi="Calibri"/>
          <w:sz w:val="22"/>
          <w:szCs w:val="22"/>
          <w:lang w:val="en-GB" w:eastAsia="ko-KR"/>
        </w:rPr>
        <w:t xml:space="preserve"> K.; </w:t>
      </w:r>
      <w:proofErr w:type="spellStart"/>
      <w:r w:rsidRPr="00BA08B2">
        <w:rPr>
          <w:rFonts w:ascii="Calibri" w:hAnsi="Calibri"/>
          <w:sz w:val="22"/>
          <w:szCs w:val="22"/>
          <w:lang w:val="en-GB" w:eastAsia="ko-KR"/>
        </w:rPr>
        <w:t>Karton</w:t>
      </w:r>
      <w:proofErr w:type="spellEnd"/>
      <w:r w:rsidRPr="00BA08B2">
        <w:rPr>
          <w:rFonts w:ascii="Calibri" w:hAnsi="Calibri"/>
          <w:sz w:val="22"/>
          <w:szCs w:val="22"/>
          <w:lang w:val="en-GB" w:eastAsia="ko-KR"/>
        </w:rPr>
        <w:t>,</w:t>
      </w:r>
      <w:r>
        <w:rPr>
          <w:rFonts w:ascii="Calibri" w:hAnsi="Calibri"/>
          <w:sz w:val="22"/>
          <w:szCs w:val="22"/>
          <w:lang w:val="en-GB" w:eastAsia="ko-KR"/>
        </w:rPr>
        <w:t xml:space="preserve"> A.;</w:t>
      </w:r>
      <w:r w:rsidRPr="00BA08B2">
        <w:rPr>
          <w:rFonts w:ascii="Calibri" w:hAnsi="Calibri"/>
          <w:sz w:val="22"/>
          <w:szCs w:val="22"/>
          <w:lang w:val="en-GB" w:eastAsia="ko-KR"/>
        </w:rPr>
        <w:t xml:space="preserve"> </w:t>
      </w:r>
      <w:proofErr w:type="spellStart"/>
      <w:r w:rsidRPr="00BA08B2">
        <w:rPr>
          <w:rFonts w:ascii="Calibri" w:hAnsi="Calibri"/>
          <w:sz w:val="22"/>
          <w:szCs w:val="22"/>
          <w:lang w:val="en-GB" w:eastAsia="ko-KR"/>
        </w:rPr>
        <w:t>Yoshizawa</w:t>
      </w:r>
      <w:proofErr w:type="spellEnd"/>
      <w:r w:rsidRPr="00BA08B2">
        <w:rPr>
          <w:rFonts w:ascii="Calibri" w:hAnsi="Calibri"/>
          <w:sz w:val="22"/>
          <w:szCs w:val="22"/>
          <w:lang w:val="en-GB" w:eastAsia="ko-KR"/>
        </w:rPr>
        <w:t>-Fujita</w:t>
      </w:r>
      <w:r>
        <w:rPr>
          <w:rFonts w:ascii="Calibri" w:hAnsi="Calibri"/>
          <w:sz w:val="22"/>
          <w:szCs w:val="22"/>
          <w:lang w:val="en-GB" w:eastAsia="ko-KR"/>
        </w:rPr>
        <w:t>,</w:t>
      </w:r>
      <w:r w:rsidRPr="00BA08B2">
        <w:rPr>
          <w:rFonts w:ascii="Calibri" w:hAnsi="Calibri"/>
          <w:sz w:val="22"/>
          <w:szCs w:val="22"/>
          <w:lang w:val="en-GB" w:eastAsia="ko-KR"/>
        </w:rPr>
        <w:t xml:space="preserve"> </w:t>
      </w:r>
      <w:r w:rsidRPr="00BA08B2">
        <w:rPr>
          <w:rFonts w:ascii="Calibri" w:hAnsi="Calibri"/>
          <w:sz w:val="22"/>
          <w:szCs w:val="22"/>
          <w:lang w:val="en-GB" w:eastAsia="ko-KR"/>
        </w:rPr>
        <w:t xml:space="preserve">M.  </w:t>
      </w:r>
      <w:r>
        <w:rPr>
          <w:rFonts w:ascii="Calibri" w:hAnsi="Calibri"/>
          <w:sz w:val="22"/>
          <w:szCs w:val="22"/>
          <w:lang w:val="en-GB" w:eastAsia="ko-KR"/>
        </w:rPr>
        <w:t>&amp;</w:t>
      </w:r>
      <w:r w:rsidRPr="00BA08B2">
        <w:rPr>
          <w:rFonts w:ascii="Calibri" w:hAnsi="Calibri"/>
          <w:sz w:val="22"/>
          <w:szCs w:val="22"/>
          <w:lang w:val="en-GB" w:eastAsia="ko-KR"/>
        </w:rPr>
        <w:t xml:space="preserve"> </w:t>
      </w:r>
      <w:proofErr w:type="spellStart"/>
      <w:r w:rsidRPr="00BA08B2">
        <w:rPr>
          <w:rFonts w:ascii="Calibri" w:hAnsi="Calibri"/>
          <w:sz w:val="22"/>
          <w:szCs w:val="22"/>
          <w:lang w:val="en-GB" w:eastAsia="ko-KR"/>
        </w:rPr>
        <w:t>Izgorodina</w:t>
      </w:r>
      <w:proofErr w:type="spellEnd"/>
      <w:r w:rsidRPr="00BA08B2">
        <w:rPr>
          <w:rFonts w:ascii="Calibri" w:hAnsi="Calibri"/>
          <w:sz w:val="22"/>
          <w:szCs w:val="22"/>
          <w:lang w:val="en-GB" w:eastAsia="ko-KR"/>
        </w:rPr>
        <w:t>,</w:t>
      </w:r>
      <w:r>
        <w:rPr>
          <w:rFonts w:ascii="Calibri" w:hAnsi="Calibri"/>
          <w:sz w:val="22"/>
          <w:szCs w:val="22"/>
          <w:lang w:val="en-GB" w:eastAsia="ko-KR"/>
        </w:rPr>
        <w:t xml:space="preserve"> </w:t>
      </w:r>
      <w:r w:rsidRPr="00BA08B2">
        <w:rPr>
          <w:rFonts w:ascii="Calibri" w:hAnsi="Calibri"/>
          <w:sz w:val="22"/>
          <w:szCs w:val="22"/>
          <w:lang w:val="en-GB" w:eastAsia="ko-KR"/>
        </w:rPr>
        <w:t>E. I.</w:t>
      </w:r>
      <w:r>
        <w:rPr>
          <w:rFonts w:ascii="Calibri" w:hAnsi="Calibri"/>
          <w:sz w:val="22"/>
          <w:szCs w:val="22"/>
          <w:lang w:val="en-GB" w:eastAsia="ko-KR"/>
        </w:rPr>
        <w:t xml:space="preserve"> </w:t>
      </w:r>
      <w:r w:rsidRPr="00BA08B2">
        <w:rPr>
          <w:rFonts w:ascii="Calibri" w:hAnsi="Calibri"/>
          <w:sz w:val="22"/>
          <w:szCs w:val="22"/>
          <w:lang w:val="en-GB" w:eastAsia="ko-KR"/>
        </w:rPr>
        <w:t> </w:t>
      </w:r>
      <w:r w:rsidRPr="00BA08B2">
        <w:rPr>
          <w:rFonts w:ascii="Calibri" w:hAnsi="Calibri"/>
          <w:b/>
          <w:bCs/>
          <w:sz w:val="22"/>
          <w:szCs w:val="22"/>
          <w:lang w:val="en-GB" w:eastAsia="ko-KR"/>
        </w:rPr>
        <w:t>SUPPLEMENTARY COVER</w:t>
      </w:r>
      <w:r w:rsidRPr="00BA08B2">
        <w:rPr>
          <w:rFonts w:ascii="Calibri" w:hAnsi="Calibri"/>
          <w:sz w:val="22"/>
          <w:szCs w:val="22"/>
          <w:lang w:val="en-GB" w:eastAsia="ko-KR"/>
        </w:rPr>
        <w:t xml:space="preserve">, Towards Improved Performance of All- Organic Nitroxide Radical Batteries with Ionic Liquids: A Theoretical Perspective, </w:t>
      </w:r>
      <w:r w:rsidRPr="00BA08B2">
        <w:rPr>
          <w:rFonts w:ascii="Calibri" w:hAnsi="Calibri"/>
          <w:i/>
          <w:iCs/>
          <w:sz w:val="22"/>
          <w:szCs w:val="22"/>
          <w:lang w:eastAsia="ko-KR"/>
        </w:rPr>
        <w:t xml:space="preserve">ACS Sustainable Chemistry &amp; Engineering </w:t>
      </w:r>
      <w:r w:rsidRPr="00BA08B2">
        <w:rPr>
          <w:rFonts w:ascii="Calibri" w:hAnsi="Calibri"/>
          <w:bCs/>
          <w:sz w:val="22"/>
          <w:szCs w:val="22"/>
          <w:lang w:eastAsia="ko-KR"/>
        </w:rPr>
        <w:t>2019,</w:t>
      </w:r>
      <w:r w:rsidRPr="00BA08B2">
        <w:rPr>
          <w:rFonts w:ascii="Calibri" w:hAnsi="Calibri"/>
          <w:sz w:val="22"/>
          <w:szCs w:val="22"/>
          <w:lang w:eastAsia="ko-KR"/>
        </w:rPr>
        <w:t xml:space="preserve"> </w:t>
      </w:r>
      <w:r w:rsidRPr="00BA08B2">
        <w:rPr>
          <w:rFonts w:ascii="Calibri" w:hAnsi="Calibri"/>
          <w:i/>
          <w:iCs/>
          <w:sz w:val="22"/>
          <w:szCs w:val="22"/>
          <w:lang w:eastAsia="ko-KR"/>
        </w:rPr>
        <w:t>7</w:t>
      </w:r>
      <w:r w:rsidRPr="00BA08B2">
        <w:rPr>
          <w:rFonts w:ascii="Calibri" w:hAnsi="Calibri"/>
          <w:sz w:val="22"/>
          <w:szCs w:val="22"/>
          <w:lang w:eastAsia="ko-KR"/>
        </w:rPr>
        <w:t xml:space="preserve"> (5), 5367-5375.</w:t>
      </w:r>
    </w:p>
    <w:p w14:paraId="766DA9A5" w14:textId="60863F4C" w:rsidR="004E5450" w:rsidRPr="00BA08B2" w:rsidRDefault="004E5450" w:rsidP="009A4CFF">
      <w:pPr>
        <w:ind w:left="284" w:right="282"/>
        <w:jc w:val="both"/>
        <w:rPr>
          <w:rFonts w:ascii="Calibri" w:hAnsi="Calibri" w:cs="Calibri"/>
          <w:sz w:val="22"/>
          <w:szCs w:val="22"/>
          <w:lang w:val="en-GB"/>
        </w:rPr>
      </w:pP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300B92"/>
    <w:rsid w:val="0030585E"/>
    <w:rsid w:val="00387491"/>
    <w:rsid w:val="00447188"/>
    <w:rsid w:val="00451BDE"/>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8F748F"/>
    <w:rsid w:val="00947B77"/>
    <w:rsid w:val="00997C34"/>
    <w:rsid w:val="009A4CFF"/>
    <w:rsid w:val="009B2641"/>
    <w:rsid w:val="009E2228"/>
    <w:rsid w:val="009F06D6"/>
    <w:rsid w:val="00A266B4"/>
    <w:rsid w:val="00BA08B2"/>
    <w:rsid w:val="00BC5FCC"/>
    <w:rsid w:val="00C60A71"/>
    <w:rsid w:val="00C6717F"/>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TRANSTextbody">
    <w:name w:val="TRANS Text body"/>
    <w:basedOn w:val="Normal"/>
    <w:rsid w:val="00BA08B2"/>
    <w:pPr>
      <w:widowControl w:val="0"/>
      <w:autoSpaceDE w:val="0"/>
      <w:autoSpaceDN w:val="0"/>
      <w:adjustRightInd w:val="0"/>
      <w:ind w:firstLine="36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560</Words>
  <Characters>3196</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3749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Microsoft Office User</cp:lastModifiedBy>
  <cp:revision>15</cp:revision>
  <cp:lastPrinted>2013-06-13T05:15:00Z</cp:lastPrinted>
  <dcterms:created xsi:type="dcterms:W3CDTF">2019-05-29T23:58:00Z</dcterms:created>
  <dcterms:modified xsi:type="dcterms:W3CDTF">2019-11-14T10:16:00Z</dcterms:modified>
</cp:coreProperties>
</file>