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145AE" w14:textId="48B5F54C" w:rsidR="00AC7439" w:rsidRPr="000F0663" w:rsidRDefault="0066599E" w:rsidP="00AC7439">
      <w:pPr>
        <w:jc w:val="both"/>
        <w:rPr>
          <w:rFonts w:asciiTheme="majorHAnsi" w:eastAsia="BIZ UDPゴシック" w:hAnsiTheme="majorHAnsi" w:cstheme="majorHAnsi"/>
          <w:sz w:val="20"/>
          <w:szCs w:val="20"/>
          <w:lang w:val="en-US"/>
        </w:rPr>
      </w:pPr>
      <w:r w:rsidRPr="000F0663">
        <w:rPr>
          <w:rFonts w:asciiTheme="majorHAnsi" w:eastAsia="BIZ UDPゴシック" w:hAnsiTheme="majorHAnsi" w:cstheme="majorHAnsi"/>
          <w:i/>
          <w:iCs/>
          <w:sz w:val="20"/>
          <w:szCs w:val="20"/>
        </w:rPr>
        <w:t xml:space="preserve">Dioscorea </w:t>
      </w:r>
      <w:proofErr w:type="spellStart"/>
      <w:r w:rsidRPr="000F0663">
        <w:rPr>
          <w:rFonts w:asciiTheme="majorHAnsi" w:eastAsia="BIZ UDPゴシック" w:hAnsiTheme="majorHAnsi" w:cstheme="majorHAnsi"/>
          <w:i/>
          <w:iCs/>
          <w:sz w:val="20"/>
          <w:szCs w:val="20"/>
        </w:rPr>
        <w:t>villosa</w:t>
      </w:r>
      <w:proofErr w:type="spellEnd"/>
      <w:r w:rsidRPr="000F0663">
        <w:rPr>
          <w:rFonts w:asciiTheme="majorHAnsi" w:eastAsia="BIZ UDPゴシック" w:hAnsiTheme="majorHAnsi" w:cstheme="majorHAnsi"/>
          <w:sz w:val="20"/>
          <w:szCs w:val="20"/>
        </w:rPr>
        <w:t xml:space="preserve"> extract enhances myogenesis and attenuates doxorubicin-induced muscle atrophy</w:t>
      </w:r>
      <w:r w:rsidRPr="000F0663">
        <w:rPr>
          <w:rFonts w:asciiTheme="majorHAnsi" w:eastAsia="BIZ UDPゴシック" w:hAnsiTheme="majorHAnsi" w:cstheme="majorHAnsi"/>
          <w:sz w:val="20"/>
          <w:szCs w:val="20"/>
          <w:lang w:val="en-US"/>
        </w:rPr>
        <w:t xml:space="preserve">  </w:t>
      </w:r>
    </w:p>
    <w:p w14:paraId="6E0AE386" w14:textId="53C9F918" w:rsidR="00AC7439" w:rsidRPr="000F0663" w:rsidRDefault="00AC7439" w:rsidP="00AC7439">
      <w:pPr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Ryusuke Hosoda</w:t>
      </w:r>
      <w:r w:rsidRPr="000F0663">
        <w:rPr>
          <w:rFonts w:asciiTheme="majorHAnsi" w:eastAsia="Calibri" w:hAnsiTheme="majorHAnsi" w:cstheme="majorHAnsi"/>
          <w:sz w:val="20"/>
          <w:szCs w:val="20"/>
          <w:vertAlign w:val="superscript"/>
          <w:lang w:val="en-US"/>
        </w:rPr>
        <w:t>1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, Yusuke Usuniwa</w:t>
      </w:r>
      <w:r w:rsidR="006F0B04" w:rsidRPr="000F0663">
        <w:rPr>
          <w:rFonts w:asciiTheme="majorHAnsi" w:hAnsiTheme="majorHAnsi" w:cstheme="majorHAnsi"/>
          <w:sz w:val="20"/>
          <w:szCs w:val="20"/>
          <w:vertAlign w:val="superscript"/>
          <w:lang w:val="en-US"/>
        </w:rPr>
        <w:t>2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, Homare T</w:t>
      </w:r>
      <w:r w:rsidR="00CA6F4E" w:rsidRPr="000F0663">
        <w:rPr>
          <w:rFonts w:asciiTheme="majorHAnsi" w:hAnsiTheme="majorHAnsi" w:cstheme="majorHAnsi"/>
          <w:sz w:val="20"/>
          <w:szCs w:val="20"/>
          <w:lang w:val="en-US"/>
        </w:rPr>
        <w:t>abat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a</w:t>
      </w:r>
      <w:r w:rsidR="006F0B04" w:rsidRPr="000F0663">
        <w:rPr>
          <w:rFonts w:asciiTheme="majorHAnsi" w:hAnsiTheme="majorHAnsi" w:cstheme="majorHAnsi"/>
          <w:sz w:val="20"/>
          <w:szCs w:val="20"/>
          <w:vertAlign w:val="superscript"/>
          <w:lang w:val="en-US"/>
        </w:rPr>
        <w:t>2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, Yukika Saga</w:t>
      </w:r>
      <w:r w:rsidR="006F0B04" w:rsidRPr="000F0663">
        <w:rPr>
          <w:rFonts w:asciiTheme="majorHAnsi" w:eastAsia="Calibri" w:hAnsiTheme="majorHAnsi" w:cstheme="majorHAnsi"/>
          <w:sz w:val="20"/>
          <w:szCs w:val="20"/>
          <w:vertAlign w:val="superscript"/>
          <w:lang w:val="en-US"/>
        </w:rPr>
        <w:t>1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, Atsushi Kuno</w:t>
      </w:r>
      <w:r w:rsidR="006F0B04" w:rsidRPr="000F0663">
        <w:rPr>
          <w:rFonts w:asciiTheme="majorHAnsi" w:eastAsia="Calibri" w:hAnsiTheme="majorHAnsi" w:cstheme="majorHAnsi"/>
          <w:sz w:val="20"/>
          <w:szCs w:val="20"/>
          <w:vertAlign w:val="superscript"/>
          <w:lang w:val="en-US"/>
        </w:rPr>
        <w:t>1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.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br/>
        <w:t xml:space="preserve">1 Department of Pharmacology, </w:t>
      </w:r>
      <w:r w:rsidR="000F0663" w:rsidRPr="000F0663">
        <w:rPr>
          <w:rFonts w:asciiTheme="majorHAnsi" w:eastAsia="ＭＳ 明朝" w:hAnsiTheme="majorHAnsi" w:cstheme="majorHAnsi"/>
          <w:sz w:val="20"/>
          <w:szCs w:val="20"/>
        </w:rPr>
        <w:t>Sapporo Medical University School of Medicine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, Sapporo, Hokkaido, Japan</w:t>
      </w:r>
      <w:r w:rsidR="002A11E4" w:rsidRPr="000F0663">
        <w:rPr>
          <w:rFonts w:asciiTheme="majorHAnsi" w:hAnsiTheme="majorHAnsi" w:cstheme="majorHAnsi"/>
          <w:sz w:val="20"/>
          <w:szCs w:val="20"/>
          <w:lang w:val="en-US"/>
        </w:rPr>
        <w:t>.</w:t>
      </w:r>
    </w:p>
    <w:p w14:paraId="32C7782D" w14:textId="3C46CFF1" w:rsidR="00AC7439" w:rsidRPr="000F0663" w:rsidRDefault="00AC7439" w:rsidP="00AC7439">
      <w:pPr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2 Life Science Center, Hokkaido Mitsui Chemicals Co., Ltd., Sapporo, Hokkaido, Japan.</w:t>
      </w:r>
    </w:p>
    <w:p w14:paraId="295A30CA" w14:textId="77777777" w:rsidR="00AC7439" w:rsidRPr="000F0663" w:rsidRDefault="00AC7439" w:rsidP="00AC7439">
      <w:pPr>
        <w:jc w:val="both"/>
        <w:rPr>
          <w:rFonts w:asciiTheme="majorHAnsi" w:hAnsiTheme="majorHAnsi" w:cstheme="majorHAnsi"/>
          <w:sz w:val="20"/>
          <w:szCs w:val="20"/>
          <w:lang w:val="en-US"/>
        </w:rPr>
      </w:pPr>
    </w:p>
    <w:p w14:paraId="320F1EBD" w14:textId="08176F8B" w:rsidR="00975F3D" w:rsidRPr="000F0663" w:rsidRDefault="00AC7439" w:rsidP="00AC7439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0F0663">
        <w:rPr>
          <w:rFonts w:asciiTheme="majorHAnsi" w:eastAsia="Calibri" w:hAnsiTheme="majorHAnsi" w:cstheme="majorHAnsi"/>
          <w:b/>
          <w:bCs/>
          <w:sz w:val="20"/>
          <w:szCs w:val="20"/>
          <w:lang w:val="en-US"/>
        </w:rPr>
        <w:t>Introduction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. </w:t>
      </w:r>
      <w:r w:rsidR="002A11E4" w:rsidRPr="000F0663">
        <w:rPr>
          <w:rFonts w:asciiTheme="majorHAnsi" w:eastAsia="Calibri" w:hAnsiTheme="majorHAnsi" w:cstheme="majorHAnsi"/>
          <w:sz w:val="20"/>
          <w:szCs w:val="20"/>
        </w:rPr>
        <w:t>Chemotherapy-induced sarcopenia, characterized by progressive loss of skeletal muscle mass and function, worsens prognosis and often leads to interruption</w:t>
      </w:r>
      <w:r w:rsidR="00594FDB" w:rsidRPr="000F0663">
        <w:rPr>
          <w:rFonts w:asciiTheme="majorHAnsi" w:eastAsia="Calibri" w:hAnsiTheme="majorHAnsi" w:cstheme="majorHAnsi"/>
          <w:sz w:val="20"/>
          <w:szCs w:val="20"/>
        </w:rPr>
        <w:t xml:space="preserve"> of chemotherapy</w:t>
      </w:r>
      <w:r w:rsidR="002A11E4" w:rsidRPr="000F0663">
        <w:rPr>
          <w:rFonts w:asciiTheme="majorHAnsi" w:eastAsia="Calibri" w:hAnsiTheme="majorHAnsi" w:cstheme="majorHAnsi"/>
          <w:sz w:val="20"/>
          <w:szCs w:val="20"/>
        </w:rPr>
        <w:t xml:space="preserve">. </w:t>
      </w:r>
      <w:r w:rsidR="00975F3D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We</w:t>
      </w:r>
      <w:r w:rsidR="0082436A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recently</w:t>
      </w:r>
      <w:r w:rsidR="00975F3D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screened four </w:t>
      </w:r>
      <w:proofErr w:type="spellStart"/>
      <w:r w:rsidR="00975F3D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stilbenoid</w:t>
      </w:r>
      <w:proofErr w:type="spellEnd"/>
      <w:r w:rsidR="00975F3D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-rich botanicals by quantifying myogenic marker expression (</w:t>
      </w:r>
      <w:proofErr w:type="spellStart"/>
      <w:r w:rsidR="00975F3D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MyoD</w:t>
      </w:r>
      <w:proofErr w:type="spellEnd"/>
      <w:r w:rsidR="00975F3D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, Myh4, </w:t>
      </w:r>
      <w:proofErr w:type="spellStart"/>
      <w:r w:rsidR="00975F3D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myogenin</w:t>
      </w:r>
      <w:proofErr w:type="spellEnd"/>
      <w:r w:rsidR="00975F3D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) in C2C12 myoblasts and identified </w:t>
      </w:r>
      <w:r w:rsidR="00975F3D" w:rsidRPr="000F0663">
        <w:rPr>
          <w:rFonts w:asciiTheme="majorHAnsi" w:eastAsia="Calibri" w:hAnsiTheme="majorHAnsi" w:cstheme="majorHAnsi"/>
          <w:i/>
          <w:iCs/>
          <w:sz w:val="20"/>
          <w:szCs w:val="20"/>
          <w:lang w:val="en-US"/>
        </w:rPr>
        <w:t xml:space="preserve">Dioscorea </w:t>
      </w:r>
      <w:proofErr w:type="spellStart"/>
      <w:r w:rsidR="00975F3D" w:rsidRPr="000F0663">
        <w:rPr>
          <w:rFonts w:asciiTheme="majorHAnsi" w:eastAsia="Calibri" w:hAnsiTheme="majorHAnsi" w:cstheme="majorHAnsi"/>
          <w:i/>
          <w:iCs/>
          <w:sz w:val="20"/>
          <w:szCs w:val="20"/>
          <w:lang w:val="en-US"/>
        </w:rPr>
        <w:t>villosa</w:t>
      </w:r>
      <w:proofErr w:type="spellEnd"/>
      <w:r w:rsidR="00975F3D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(DV)</w:t>
      </w:r>
      <w:r w:rsidR="00281EAE" w:rsidRPr="000F0663">
        <w:rPr>
          <w:rFonts w:asciiTheme="majorHAnsi" w:hAnsiTheme="majorHAnsi" w:cstheme="majorHAnsi"/>
        </w:rPr>
        <w:t xml:space="preserve"> </w:t>
      </w:r>
      <w:r w:rsidR="00281EAE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culture</w:t>
      </w:r>
      <w:r w:rsidR="00975F3D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extract as the </w:t>
      </w:r>
      <w:proofErr w:type="spellStart"/>
      <w:r w:rsidR="00975F3D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myoprotective</w:t>
      </w:r>
      <w:proofErr w:type="spellEnd"/>
      <w:r w:rsidR="00975F3D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candidate.</w:t>
      </w:r>
    </w:p>
    <w:p w14:paraId="79F75E10" w14:textId="001D8E49" w:rsidR="008C2FD5" w:rsidRPr="000F0663" w:rsidRDefault="00AC7439" w:rsidP="00AC7439">
      <w:pPr>
        <w:rPr>
          <w:rFonts w:asciiTheme="majorHAnsi" w:eastAsia="Calibri" w:hAnsiTheme="majorHAnsi" w:cstheme="majorHAnsi"/>
          <w:sz w:val="20"/>
          <w:szCs w:val="20"/>
          <w:lang w:val="en-US"/>
        </w:rPr>
      </w:pPr>
      <w:r w:rsidRPr="000F0663">
        <w:rPr>
          <w:rFonts w:asciiTheme="majorHAnsi" w:eastAsia="Calibri" w:hAnsiTheme="majorHAnsi" w:cstheme="majorHAnsi"/>
          <w:b/>
          <w:bCs/>
          <w:sz w:val="20"/>
          <w:szCs w:val="20"/>
          <w:lang w:val="en-US"/>
        </w:rPr>
        <w:t>Aims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. To </w:t>
      </w:r>
      <w:r w:rsidR="004F058B" w:rsidRPr="000F0663">
        <w:rPr>
          <w:rFonts w:asciiTheme="majorHAnsi" w:eastAsia="Calibri" w:hAnsiTheme="majorHAnsi" w:cstheme="majorHAnsi"/>
          <w:sz w:val="20"/>
          <w:szCs w:val="20"/>
        </w:rPr>
        <w:t xml:space="preserve">evaluate 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whether DV </w:t>
      </w:r>
      <w:r w:rsidR="00281EAE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culture 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extract promotes myogenic differentiation in vitro and attenuates doxorubicin (DOX)–induced skeletal muscle atrophy in vivo.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br/>
      </w:r>
      <w:r w:rsidRPr="000F0663">
        <w:rPr>
          <w:rFonts w:asciiTheme="majorHAnsi" w:eastAsia="Calibri" w:hAnsiTheme="majorHAnsi" w:cstheme="majorHAnsi"/>
          <w:b/>
          <w:bCs/>
          <w:sz w:val="20"/>
          <w:szCs w:val="20"/>
          <w:lang w:val="en-US"/>
        </w:rPr>
        <w:t>Methods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. </w:t>
      </w:r>
      <w:r w:rsidR="00153915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C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onstituents</w:t>
      </w:r>
      <w:r w:rsidR="00153915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of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</w:t>
      </w:r>
      <w:r w:rsidR="00153915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DV </w:t>
      </w:r>
      <w:r w:rsidR="00281EAE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culture </w:t>
      </w:r>
      <w:r w:rsidR="000B6B01" w:rsidRPr="000F0663">
        <w:rPr>
          <w:rFonts w:asciiTheme="majorHAnsi" w:hAnsiTheme="majorHAnsi" w:cstheme="majorHAnsi"/>
          <w:sz w:val="20"/>
          <w:szCs w:val="20"/>
          <w:lang w:val="en-US"/>
        </w:rPr>
        <w:t>e</w:t>
      </w:r>
      <w:r w:rsidR="009D28B4" w:rsidRPr="000F0663">
        <w:rPr>
          <w:rFonts w:asciiTheme="majorHAnsi" w:hAnsiTheme="majorHAnsi" w:cstheme="majorHAnsi"/>
          <w:sz w:val="20"/>
          <w:szCs w:val="20"/>
          <w:lang w:val="en-US"/>
        </w:rPr>
        <w:t>x</w:t>
      </w:r>
      <w:r w:rsidR="000B6B01" w:rsidRPr="000F0663">
        <w:rPr>
          <w:rFonts w:asciiTheme="majorHAnsi" w:hAnsiTheme="majorHAnsi" w:cstheme="majorHAnsi"/>
          <w:sz w:val="20"/>
          <w:szCs w:val="20"/>
          <w:lang w:val="en-US"/>
        </w:rPr>
        <w:t xml:space="preserve">tract 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were </w:t>
      </w:r>
      <w:r w:rsidR="004F058B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analyzed 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by HPLC-DAD. </w:t>
      </w:r>
      <w:r w:rsidR="00E62DF3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Viability of 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C2C12 myoblast</w:t>
      </w:r>
      <w:r w:rsidR="00E62DF3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s 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after </w:t>
      </w:r>
      <w:r w:rsidR="00E62DF3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treatment with 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DV </w:t>
      </w:r>
      <w:r w:rsidR="00281EAE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culture </w:t>
      </w:r>
      <w:r w:rsidR="00E62DF3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extract 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(2.5–20 µg/mL) was assessed by CCK-8.</w:t>
      </w:r>
      <w:r w:rsidR="00153915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C2C12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cells</w:t>
      </w:r>
      <w:r w:rsidR="00153915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during differentiation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received DV</w:t>
      </w:r>
      <w:r w:rsidR="00E62DF3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</w:t>
      </w:r>
      <w:r w:rsidR="00281EAE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culture </w:t>
      </w:r>
      <w:r w:rsidR="00E62DF3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extract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(2.5 µg/mL) for 5 days</w:t>
      </w:r>
      <w:r w:rsidR="00E62DF3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.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</w:t>
      </w:r>
      <w:r w:rsidR="007738F4" w:rsidRPr="000F0663">
        <w:rPr>
          <w:rFonts w:asciiTheme="majorHAnsi" w:eastAsia="Calibri" w:hAnsiTheme="majorHAnsi" w:cstheme="majorHAnsi"/>
          <w:sz w:val="20"/>
          <w:szCs w:val="20"/>
        </w:rPr>
        <w:t>Myh4 was quantified by Western blotting, and myotube area was quantified from immunofluorescence images</w:t>
      </w:r>
      <w:r w:rsidR="00153915" w:rsidRPr="000F0663">
        <w:rPr>
          <w:rFonts w:asciiTheme="majorHAnsi" w:eastAsia="Calibri" w:hAnsiTheme="majorHAnsi" w:cstheme="majorHAnsi"/>
          <w:sz w:val="20"/>
          <w:szCs w:val="20"/>
        </w:rPr>
        <w:t xml:space="preserve"> of Myh4</w:t>
      </w:r>
      <w:r w:rsidR="007738F4" w:rsidRPr="000F0663">
        <w:rPr>
          <w:rFonts w:asciiTheme="majorHAnsi" w:eastAsia="Calibri" w:hAnsiTheme="majorHAnsi" w:cstheme="majorHAnsi"/>
          <w:sz w:val="20"/>
          <w:szCs w:val="20"/>
        </w:rPr>
        <w:t xml:space="preserve">. </w:t>
      </w:r>
      <w:r w:rsidR="00E62DF3" w:rsidRPr="000F0663">
        <w:rPr>
          <w:rFonts w:asciiTheme="majorHAnsi" w:eastAsia="Calibri" w:hAnsiTheme="majorHAnsi" w:cstheme="majorHAnsi"/>
          <w:sz w:val="20"/>
          <w:szCs w:val="20"/>
        </w:rPr>
        <w:t>Male</w:t>
      </w:r>
      <w:r w:rsidR="00E62DF3" w:rsidRPr="000F0663" w:rsidDel="00E62DF3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="00432F90" w:rsidRPr="000F0663">
        <w:rPr>
          <w:rFonts w:asciiTheme="majorHAnsi" w:eastAsia="Calibri" w:hAnsiTheme="majorHAnsi" w:cstheme="majorHAnsi"/>
          <w:sz w:val="20"/>
          <w:szCs w:val="20"/>
        </w:rPr>
        <w:t xml:space="preserve">C57BL/6J mice </w:t>
      </w:r>
      <w:r w:rsidR="00E62DF3" w:rsidRPr="000F0663">
        <w:rPr>
          <w:rFonts w:asciiTheme="majorHAnsi" w:eastAsia="Calibri" w:hAnsiTheme="majorHAnsi" w:cstheme="majorHAnsi"/>
          <w:sz w:val="20"/>
          <w:szCs w:val="20"/>
        </w:rPr>
        <w:t>at 12 week</w:t>
      </w:r>
      <w:r w:rsidR="0082436A" w:rsidRPr="000F0663">
        <w:rPr>
          <w:rFonts w:asciiTheme="majorHAnsi" w:eastAsia="Calibri" w:hAnsiTheme="majorHAnsi" w:cstheme="majorHAnsi"/>
          <w:sz w:val="20"/>
          <w:szCs w:val="20"/>
        </w:rPr>
        <w:t>s</w:t>
      </w:r>
      <w:r w:rsidR="00E62DF3" w:rsidRPr="000F0663">
        <w:rPr>
          <w:rFonts w:asciiTheme="majorHAnsi" w:eastAsia="Calibri" w:hAnsiTheme="majorHAnsi" w:cstheme="majorHAnsi"/>
          <w:sz w:val="20"/>
          <w:szCs w:val="20"/>
        </w:rPr>
        <w:t xml:space="preserve"> old </w:t>
      </w:r>
      <w:r w:rsidR="00432F90" w:rsidRPr="000F0663">
        <w:rPr>
          <w:rFonts w:asciiTheme="majorHAnsi" w:eastAsia="Calibri" w:hAnsiTheme="majorHAnsi" w:cstheme="majorHAnsi"/>
          <w:sz w:val="20"/>
          <w:szCs w:val="20"/>
        </w:rPr>
        <w:t xml:space="preserve">received DOX (5 mg/kg, </w:t>
      </w:r>
      <w:proofErr w:type="spellStart"/>
      <w:r w:rsidR="00432F90" w:rsidRPr="000F0663">
        <w:rPr>
          <w:rFonts w:asciiTheme="majorHAnsi" w:eastAsia="Calibri" w:hAnsiTheme="majorHAnsi" w:cstheme="majorHAnsi"/>
          <w:sz w:val="20"/>
          <w:szCs w:val="20"/>
        </w:rPr>
        <w:t>i.p.</w:t>
      </w:r>
      <w:proofErr w:type="spellEnd"/>
      <w:r w:rsidR="00432F90" w:rsidRPr="000F0663">
        <w:rPr>
          <w:rFonts w:asciiTheme="majorHAnsi" w:eastAsia="Calibri" w:hAnsiTheme="majorHAnsi" w:cstheme="majorHAnsi"/>
          <w:sz w:val="20"/>
          <w:szCs w:val="20"/>
        </w:rPr>
        <w:t>, once weekly for 4 weeks). A</w:t>
      </w:r>
      <w:r w:rsidR="00E62DF3" w:rsidRPr="000F0663">
        <w:rPr>
          <w:rFonts w:asciiTheme="majorHAnsi" w:eastAsia="Calibri" w:hAnsiTheme="majorHAnsi" w:cstheme="majorHAnsi"/>
          <w:sz w:val="20"/>
          <w:szCs w:val="20"/>
        </w:rPr>
        <w:t xml:space="preserve"> diet</w:t>
      </w:r>
      <w:r w:rsidR="00432F90" w:rsidRPr="000F0663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="00E62DF3" w:rsidRPr="000F0663">
        <w:rPr>
          <w:rFonts w:asciiTheme="majorHAnsi" w:eastAsia="Calibri" w:hAnsiTheme="majorHAnsi" w:cstheme="majorHAnsi"/>
          <w:sz w:val="20"/>
          <w:szCs w:val="20"/>
        </w:rPr>
        <w:t xml:space="preserve">containing </w:t>
      </w:r>
      <w:r w:rsidR="00432F90" w:rsidRPr="000F0663">
        <w:rPr>
          <w:rFonts w:asciiTheme="majorHAnsi" w:eastAsia="Calibri" w:hAnsiTheme="majorHAnsi" w:cstheme="majorHAnsi"/>
          <w:sz w:val="20"/>
          <w:szCs w:val="20"/>
        </w:rPr>
        <w:t>DV</w:t>
      </w:r>
      <w:r w:rsidR="00E62DF3" w:rsidRPr="000F0663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="00281EAE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culture </w:t>
      </w:r>
      <w:r w:rsidR="00E62DF3" w:rsidRPr="000F0663">
        <w:rPr>
          <w:rFonts w:asciiTheme="majorHAnsi" w:eastAsia="Calibri" w:hAnsiTheme="majorHAnsi" w:cstheme="majorHAnsi"/>
          <w:sz w:val="20"/>
          <w:szCs w:val="20"/>
        </w:rPr>
        <w:t>extract</w:t>
      </w:r>
      <w:r w:rsidR="00432F90" w:rsidRPr="000F0663">
        <w:rPr>
          <w:rFonts w:asciiTheme="majorHAnsi" w:eastAsia="Calibri" w:hAnsiTheme="majorHAnsi" w:cstheme="majorHAnsi"/>
          <w:sz w:val="20"/>
          <w:szCs w:val="20"/>
        </w:rPr>
        <w:t xml:space="preserve"> (0.4 g/kg) was started 1 week before DOX and continued for 5 weeks.</w:t>
      </w:r>
      <w:r w:rsidR="00432F90" w:rsidRPr="000F0663">
        <w:rPr>
          <w:rFonts w:asciiTheme="majorHAnsi" w:hAnsiTheme="majorHAnsi" w:cstheme="majorHAnsi"/>
          <w:sz w:val="20"/>
          <w:szCs w:val="20"/>
        </w:rPr>
        <w:t xml:space="preserve"> 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Body weight</w:t>
      </w:r>
      <w:r w:rsidR="00153915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s of mice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</w:t>
      </w:r>
      <w:r w:rsidR="00153915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were measured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, and</w:t>
      </w:r>
      <w:r w:rsidR="00153915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sections of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tibialis anterior </w:t>
      </w:r>
      <w:r w:rsidR="00E62DF3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muscles 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were </w:t>
      </w:r>
      <w:r w:rsidR="00153915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stained with </w:t>
      </w:r>
      <w:r w:rsidR="007738F4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wheat germ agglutinin</w:t>
      </w:r>
      <w:r w:rsidR="00153915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conjugated with </w:t>
      </w:r>
      <w:r w:rsidR="00586428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Alexa Fluor 488 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to determine minimal Feret diameter</w:t>
      </w:r>
      <w:r w:rsidR="00594FDB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of muscle fibers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.</w:t>
      </w:r>
    </w:p>
    <w:p w14:paraId="2A9B11D1" w14:textId="28C4D62A" w:rsidR="008A4E0E" w:rsidRPr="000F0663" w:rsidRDefault="00AC7439" w:rsidP="008A4E0E">
      <w:pPr>
        <w:rPr>
          <w:rFonts w:asciiTheme="majorHAnsi" w:eastAsia="Calibri" w:hAnsiTheme="majorHAnsi" w:cstheme="majorHAnsi"/>
          <w:sz w:val="20"/>
          <w:szCs w:val="20"/>
        </w:rPr>
      </w:pPr>
      <w:r w:rsidRPr="000F0663">
        <w:rPr>
          <w:rFonts w:asciiTheme="majorHAnsi" w:eastAsia="Calibri" w:hAnsiTheme="majorHAnsi" w:cstheme="majorHAnsi"/>
          <w:b/>
          <w:bCs/>
          <w:sz w:val="20"/>
          <w:szCs w:val="20"/>
          <w:lang w:val="en-US"/>
        </w:rPr>
        <w:t>Results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. </w:t>
      </w:r>
      <w:r w:rsidR="007738F4" w:rsidRPr="000F0663">
        <w:rPr>
          <w:rFonts w:asciiTheme="majorHAnsi" w:eastAsia="Calibri" w:hAnsiTheme="majorHAnsi" w:cstheme="majorHAnsi"/>
          <w:sz w:val="20"/>
          <w:szCs w:val="20"/>
        </w:rPr>
        <w:t>HPLC-DAD analysis revealed</w:t>
      </w:r>
      <w:r w:rsidR="00594FDB" w:rsidRPr="000F0663">
        <w:rPr>
          <w:rFonts w:asciiTheme="majorHAnsi" w:eastAsia="Calibri" w:hAnsiTheme="majorHAnsi" w:cstheme="majorHAnsi"/>
          <w:sz w:val="20"/>
          <w:szCs w:val="20"/>
        </w:rPr>
        <w:t xml:space="preserve"> that</w:t>
      </w:r>
      <w:r w:rsidR="007738F4" w:rsidRPr="000F0663">
        <w:rPr>
          <w:rFonts w:asciiTheme="majorHAnsi" w:eastAsia="Calibri" w:hAnsiTheme="majorHAnsi" w:cstheme="majorHAnsi"/>
          <w:sz w:val="20"/>
          <w:szCs w:val="20"/>
        </w:rPr>
        <w:t xml:space="preserve"> resveratrol, δ-</w:t>
      </w:r>
      <w:proofErr w:type="spellStart"/>
      <w:r w:rsidR="007738F4" w:rsidRPr="000F0663">
        <w:rPr>
          <w:rFonts w:asciiTheme="majorHAnsi" w:eastAsia="Calibri" w:hAnsiTheme="majorHAnsi" w:cstheme="majorHAnsi"/>
          <w:sz w:val="20"/>
          <w:szCs w:val="20"/>
        </w:rPr>
        <w:t>viniferin</w:t>
      </w:r>
      <w:proofErr w:type="spellEnd"/>
      <w:r w:rsidR="007738F4" w:rsidRPr="000F0663">
        <w:rPr>
          <w:rFonts w:asciiTheme="majorHAnsi" w:eastAsia="Calibri" w:hAnsiTheme="majorHAnsi" w:cstheme="majorHAnsi"/>
          <w:sz w:val="20"/>
          <w:szCs w:val="20"/>
        </w:rPr>
        <w:t xml:space="preserve">, and two uncharacterized </w:t>
      </w:r>
      <w:proofErr w:type="spellStart"/>
      <w:r w:rsidR="007738F4" w:rsidRPr="000F0663">
        <w:rPr>
          <w:rFonts w:asciiTheme="majorHAnsi" w:eastAsia="Calibri" w:hAnsiTheme="majorHAnsi" w:cstheme="majorHAnsi"/>
          <w:sz w:val="20"/>
          <w:szCs w:val="20"/>
        </w:rPr>
        <w:t>stilbenoid</w:t>
      </w:r>
      <w:proofErr w:type="spellEnd"/>
      <w:r w:rsidR="007738F4" w:rsidRPr="000F0663">
        <w:rPr>
          <w:rFonts w:asciiTheme="majorHAnsi" w:eastAsia="Calibri" w:hAnsiTheme="majorHAnsi" w:cstheme="majorHAnsi"/>
          <w:sz w:val="20"/>
          <w:szCs w:val="20"/>
        </w:rPr>
        <w:t xml:space="preserve"> constituents </w:t>
      </w:r>
      <w:r w:rsidR="00594FDB" w:rsidRPr="000F0663">
        <w:rPr>
          <w:rFonts w:asciiTheme="majorHAnsi" w:eastAsia="Calibri" w:hAnsiTheme="majorHAnsi" w:cstheme="majorHAnsi"/>
          <w:sz w:val="20"/>
          <w:szCs w:val="20"/>
        </w:rPr>
        <w:t xml:space="preserve">were detected </w:t>
      </w:r>
      <w:r w:rsidR="007738F4" w:rsidRPr="000F0663">
        <w:rPr>
          <w:rFonts w:asciiTheme="majorHAnsi" w:eastAsia="Calibri" w:hAnsiTheme="majorHAnsi" w:cstheme="majorHAnsi"/>
          <w:sz w:val="20"/>
          <w:szCs w:val="20"/>
        </w:rPr>
        <w:t>in DV</w:t>
      </w:r>
      <w:r w:rsidR="00281EAE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culture</w:t>
      </w:r>
      <w:r w:rsidR="007738F4" w:rsidRPr="000F0663">
        <w:rPr>
          <w:rFonts w:asciiTheme="majorHAnsi" w:eastAsia="Calibri" w:hAnsiTheme="majorHAnsi" w:cstheme="majorHAnsi"/>
          <w:sz w:val="20"/>
          <w:szCs w:val="20"/>
        </w:rPr>
        <w:t xml:space="preserve"> extract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. DV</w:t>
      </w:r>
      <w:r w:rsidR="00E62DF3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extract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</w:t>
      </w:r>
      <w:r w:rsidR="00594FDB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at 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2.5–5 µg/mL </w:t>
      </w:r>
      <w:r w:rsidR="008C2FD5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showed no cytotoxicity in C2C12 cells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. Compared with differentiation medium alone, </w:t>
      </w:r>
      <w:r w:rsidR="008C2FD5" w:rsidRPr="000F0663">
        <w:rPr>
          <w:rFonts w:asciiTheme="majorHAnsi" w:eastAsia="Calibri" w:hAnsiTheme="majorHAnsi" w:cstheme="majorHAnsi"/>
          <w:sz w:val="20"/>
          <w:szCs w:val="20"/>
        </w:rPr>
        <w:t>treatment</w:t>
      </w:r>
      <w:r w:rsidR="00E62DF3" w:rsidRPr="000F0663">
        <w:rPr>
          <w:rFonts w:asciiTheme="majorHAnsi" w:eastAsia="Calibri" w:hAnsiTheme="majorHAnsi" w:cstheme="majorHAnsi"/>
          <w:sz w:val="20"/>
          <w:szCs w:val="20"/>
        </w:rPr>
        <w:t xml:space="preserve"> with DV</w:t>
      </w:r>
      <w:r w:rsidR="00281EAE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culture</w:t>
      </w:r>
      <w:r w:rsidR="00E62DF3" w:rsidRPr="000F0663">
        <w:rPr>
          <w:rFonts w:asciiTheme="majorHAnsi" w:eastAsia="Calibri" w:hAnsiTheme="majorHAnsi" w:cstheme="majorHAnsi"/>
          <w:sz w:val="20"/>
          <w:szCs w:val="20"/>
        </w:rPr>
        <w:t xml:space="preserve"> extract</w:t>
      </w:r>
      <w:r w:rsidR="008C2FD5" w:rsidRPr="000F0663">
        <w:rPr>
          <w:rFonts w:asciiTheme="majorHAnsi" w:eastAsia="Calibri" w:hAnsiTheme="majorHAnsi" w:cstheme="majorHAnsi"/>
          <w:sz w:val="20"/>
          <w:szCs w:val="20"/>
        </w:rPr>
        <w:t xml:space="preserve"> 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significantly increas</w:t>
      </w:r>
      <w:r w:rsidR="00594FDB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ed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Myh4 protein to 218% and enlarg</w:t>
      </w:r>
      <w:r w:rsidR="00594FDB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ed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myotube </w:t>
      </w:r>
      <w:r w:rsidR="00744B9D" w:rsidRPr="000F0663">
        <w:rPr>
          <w:rFonts w:asciiTheme="majorHAnsi" w:hAnsiTheme="majorHAnsi" w:cstheme="majorHAnsi"/>
          <w:sz w:val="20"/>
          <w:szCs w:val="20"/>
          <w:lang w:val="en-US"/>
        </w:rPr>
        <w:t xml:space="preserve">area 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to </w:t>
      </w:r>
      <w:r w:rsidR="00DD770A" w:rsidRPr="000F0663">
        <w:rPr>
          <w:rFonts w:asciiTheme="majorHAnsi" w:hAnsiTheme="majorHAnsi" w:cstheme="majorHAnsi"/>
          <w:sz w:val="20"/>
          <w:szCs w:val="20"/>
          <w:lang w:val="en-US"/>
        </w:rPr>
        <w:t>170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%. In vivo, DOX</w:t>
      </w:r>
      <w:r w:rsidR="008C2FD5" w:rsidRPr="000F0663">
        <w:rPr>
          <w:rFonts w:asciiTheme="majorHAnsi" w:hAnsiTheme="majorHAnsi" w:cstheme="majorHAnsi"/>
        </w:rPr>
        <w:t xml:space="preserve"> </w:t>
      </w:r>
      <w:r w:rsidR="008C2FD5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treatment 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reduced body weight to 95.1% of baseline, whereas </w:t>
      </w:r>
      <w:r w:rsidR="008C2FD5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DV</w:t>
      </w:r>
      <w:r w:rsidR="00E62DF3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</w:t>
      </w:r>
      <w:r w:rsidR="00281EAE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culture </w:t>
      </w:r>
      <w:r w:rsidR="002300D0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extract</w:t>
      </w:r>
      <w:r w:rsidR="008C2FD5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-fed mice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</w:t>
      </w:r>
      <w:r w:rsidR="005E58A4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significantly maintained body weight at 96.4%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. The proportion of </w:t>
      </w:r>
      <w:r w:rsidR="00E62DF3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myo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fibers larger than the median diameter </w:t>
      </w:r>
      <w:r w:rsidR="00E62DF3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in control mice 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(37 µm) </w:t>
      </w:r>
      <w:r w:rsidR="008C2FD5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decreased 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from 50.0% (untreated) to 42.9% with DOX and was </w:t>
      </w:r>
      <w:r w:rsidR="00E62DF3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significantly </w:t>
      </w:r>
      <w:r w:rsidR="008C2FD5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preserved at 49.9% with DV</w:t>
      </w:r>
      <w:r w:rsidR="00281EAE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culture</w:t>
      </w:r>
      <w:r w:rsidR="00E62DF3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extract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.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br/>
      </w:r>
      <w:r w:rsidRPr="000F0663">
        <w:rPr>
          <w:rFonts w:asciiTheme="majorHAnsi" w:eastAsia="Calibri" w:hAnsiTheme="majorHAnsi" w:cstheme="majorHAnsi"/>
          <w:b/>
          <w:bCs/>
          <w:sz w:val="20"/>
          <w:szCs w:val="20"/>
          <w:lang w:val="en-US"/>
        </w:rPr>
        <w:t>Discussion</w:t>
      </w:r>
      <w:r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. </w:t>
      </w:r>
      <w:r w:rsidR="00C91DCE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DV</w:t>
      </w:r>
      <w:r w:rsidR="00281EAE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culture</w:t>
      </w:r>
      <w:r w:rsidR="00C91DCE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extract enhances </w:t>
      </w:r>
      <w:r w:rsidR="002300D0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myogenesis</w:t>
      </w:r>
      <w:r w:rsidR="00C91DCE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and attenuates DOX-induced muscle atrophy, although further analyses are needed to clarify which </w:t>
      </w:r>
      <w:proofErr w:type="spellStart"/>
      <w:r w:rsidR="00C91DCE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>stilbenoids</w:t>
      </w:r>
      <w:proofErr w:type="spellEnd"/>
      <w:r w:rsidR="00C91DCE" w:rsidRPr="000F0663">
        <w:rPr>
          <w:rFonts w:asciiTheme="majorHAnsi" w:eastAsia="Calibri" w:hAnsiTheme="majorHAnsi" w:cstheme="majorHAnsi"/>
          <w:sz w:val="20"/>
          <w:szCs w:val="20"/>
          <w:lang w:val="en-US"/>
        </w:rPr>
        <w:t xml:space="preserve"> are involved. </w:t>
      </w:r>
    </w:p>
    <w:sectPr w:rsidR="008A4E0E" w:rsidRPr="000F0663">
      <w:pgSz w:w="11906" w:h="8391" w:orient="landscape"/>
      <w:pgMar w:top="851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B6ED7" w14:textId="77777777" w:rsidR="00EE1D6B" w:rsidRDefault="00EE1D6B" w:rsidP="005F5F82">
      <w:r>
        <w:separator/>
      </w:r>
    </w:p>
  </w:endnote>
  <w:endnote w:type="continuationSeparator" w:id="0">
    <w:p w14:paraId="73FD00F9" w14:textId="77777777" w:rsidR="00EE1D6B" w:rsidRDefault="00EE1D6B" w:rsidP="005F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0B8C0" w14:textId="77777777" w:rsidR="00EE1D6B" w:rsidRDefault="00EE1D6B" w:rsidP="005F5F82">
      <w:r>
        <w:separator/>
      </w:r>
    </w:p>
  </w:footnote>
  <w:footnote w:type="continuationSeparator" w:id="0">
    <w:p w14:paraId="0D327FF4" w14:textId="77777777" w:rsidR="00EE1D6B" w:rsidRDefault="00EE1D6B" w:rsidP="005F5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A5"/>
    <w:rsid w:val="00015656"/>
    <w:rsid w:val="000B6B01"/>
    <w:rsid w:val="000C1B70"/>
    <w:rsid w:val="000F0663"/>
    <w:rsid w:val="000F68EC"/>
    <w:rsid w:val="00153915"/>
    <w:rsid w:val="00161015"/>
    <w:rsid w:val="00177F8F"/>
    <w:rsid w:val="002075AF"/>
    <w:rsid w:val="00210F36"/>
    <w:rsid w:val="00223D3C"/>
    <w:rsid w:val="002300D0"/>
    <w:rsid w:val="00260183"/>
    <w:rsid w:val="00281EAE"/>
    <w:rsid w:val="002A11E4"/>
    <w:rsid w:val="0035506C"/>
    <w:rsid w:val="003C66AE"/>
    <w:rsid w:val="00432F90"/>
    <w:rsid w:val="004E00DF"/>
    <w:rsid w:val="004E3633"/>
    <w:rsid w:val="004F058B"/>
    <w:rsid w:val="00555DF7"/>
    <w:rsid w:val="005829A0"/>
    <w:rsid w:val="00586428"/>
    <w:rsid w:val="00594FDB"/>
    <w:rsid w:val="005E58A4"/>
    <w:rsid w:val="005F5F82"/>
    <w:rsid w:val="006518A5"/>
    <w:rsid w:val="0066599E"/>
    <w:rsid w:val="006F0B04"/>
    <w:rsid w:val="006F4CB8"/>
    <w:rsid w:val="00744B9D"/>
    <w:rsid w:val="007738F4"/>
    <w:rsid w:val="007B74D2"/>
    <w:rsid w:val="007C4A5E"/>
    <w:rsid w:val="0082436A"/>
    <w:rsid w:val="008A4E0E"/>
    <w:rsid w:val="008C2FD5"/>
    <w:rsid w:val="00927398"/>
    <w:rsid w:val="00975F3D"/>
    <w:rsid w:val="00993168"/>
    <w:rsid w:val="009D28B4"/>
    <w:rsid w:val="009F0E5C"/>
    <w:rsid w:val="00A40FCC"/>
    <w:rsid w:val="00A43632"/>
    <w:rsid w:val="00AB61DB"/>
    <w:rsid w:val="00AC7439"/>
    <w:rsid w:val="00B21A55"/>
    <w:rsid w:val="00B617D2"/>
    <w:rsid w:val="00BB3130"/>
    <w:rsid w:val="00BE6F83"/>
    <w:rsid w:val="00C14332"/>
    <w:rsid w:val="00C3685A"/>
    <w:rsid w:val="00C65AC6"/>
    <w:rsid w:val="00C71E12"/>
    <w:rsid w:val="00C91DCE"/>
    <w:rsid w:val="00CA6F4E"/>
    <w:rsid w:val="00D1226B"/>
    <w:rsid w:val="00D23201"/>
    <w:rsid w:val="00D54809"/>
    <w:rsid w:val="00DD122D"/>
    <w:rsid w:val="00DD770A"/>
    <w:rsid w:val="00E25352"/>
    <w:rsid w:val="00E62DF3"/>
    <w:rsid w:val="00E935AF"/>
    <w:rsid w:val="00EB17E6"/>
    <w:rsid w:val="00EE1D6B"/>
    <w:rsid w:val="00F734B2"/>
    <w:rsid w:val="00F741AA"/>
    <w:rsid w:val="00FB2584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E4B39"/>
  <w15:docId w15:val="{F1F28DD3-2921-46F6-A480-95E99AD7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439"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20" w:after="60"/>
      <w:jc w:val="center"/>
      <w:outlineLvl w:val="2"/>
    </w:pPr>
    <w:rPr>
      <w:b/>
      <w:smallCaps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153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53915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94FD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94FDB"/>
  </w:style>
  <w:style w:type="character" w:customStyle="1" w:styleId="a9">
    <w:name w:val="コメント文字列 (文字)"/>
    <w:basedOn w:val="a0"/>
    <w:link w:val="a8"/>
    <w:uiPriority w:val="99"/>
    <w:rsid w:val="00594FDB"/>
  </w:style>
  <w:style w:type="paragraph" w:styleId="aa">
    <w:name w:val="annotation subject"/>
    <w:basedOn w:val="a8"/>
    <w:next w:val="a8"/>
    <w:link w:val="ab"/>
    <w:uiPriority w:val="99"/>
    <w:semiHidden/>
    <w:unhideWhenUsed/>
    <w:rsid w:val="00594FD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94FDB"/>
    <w:rPr>
      <w:b/>
      <w:bCs/>
    </w:rPr>
  </w:style>
  <w:style w:type="paragraph" w:styleId="ac">
    <w:name w:val="Revision"/>
    <w:hidden/>
    <w:uiPriority w:val="99"/>
    <w:semiHidden/>
    <w:rsid w:val="00223D3C"/>
  </w:style>
  <w:style w:type="paragraph" w:styleId="ad">
    <w:name w:val="header"/>
    <w:basedOn w:val="a"/>
    <w:link w:val="ae"/>
    <w:uiPriority w:val="99"/>
    <w:unhideWhenUsed/>
    <w:rsid w:val="005F5F8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F5F82"/>
  </w:style>
  <w:style w:type="paragraph" w:styleId="af">
    <w:name w:val="footer"/>
    <w:basedOn w:val="a"/>
    <w:link w:val="af0"/>
    <w:uiPriority w:val="99"/>
    <w:unhideWhenUsed/>
    <w:rsid w:val="005F5F8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F5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Atsushi Kuno</dc:creator>
  <cp:lastModifiedBy>細田 隆介</cp:lastModifiedBy>
  <cp:revision>3</cp:revision>
  <dcterms:created xsi:type="dcterms:W3CDTF">2025-09-14T21:58:00Z</dcterms:created>
  <dcterms:modified xsi:type="dcterms:W3CDTF">2025-09-14T21:59:00Z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>lcf76f155ced4ddcb4097134ff3c332f</vt:lpwstr>
  </property>
  <property fmtid="{D5CDD505-2E9C-101B-9397-08002B2CF9AE}" pid="3" name="TaxCatchAll">
    <vt:lpwstr>TaxCatchAll</vt:lpwstr>
  </property>
</Properties>
</file>