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A3B7" w14:textId="07C75CB2" w:rsidR="00221785" w:rsidRDefault="00944887" w:rsidP="00944887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</w:pPr>
      <w:r w:rsidRPr="00944887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Targeting Senescence with Phytocannabinoids: A Novel Approach to Promote Healthy Ag</w:t>
      </w:r>
      <w:r w:rsidR="00E6527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</w:t>
      </w:r>
      <w:r w:rsidRPr="00944887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ing</w:t>
      </w:r>
    </w:p>
    <w:p w14:paraId="1ACB52B0" w14:textId="77777777" w:rsidR="00221785" w:rsidRDefault="00221785" w:rsidP="00C315D2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</w:pPr>
    </w:p>
    <w:p w14:paraId="79141BD9" w14:textId="6928CAD5" w:rsidR="00C315D2" w:rsidRPr="00376AD9" w:rsidRDefault="00397D7C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B31E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Mereesha Gemunudasa</w:t>
      </w:r>
      <w:r w:rsidR="00C315D2" w:rsidRPr="007B31E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7B31E9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Zhizhen Wang</w:t>
      </w:r>
      <w:r w:rsidR="00C315D2" w:rsidRPr="007B31E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784BB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Pr="00784B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Jonathon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C. Arnold</w:t>
      </w:r>
      <w:r w:rsidR="00376AD9" w:rsidRPr="00376AD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</w:t>
      </w:r>
      <w:r w:rsidR="006D17D9" w:rsidRPr="00376AD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</w:p>
    <w:p w14:paraId="4A57B6D0" w14:textId="2A8ACD2C" w:rsidR="00DF261F" w:rsidRDefault="00DF261F" w:rsidP="00DF261F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F26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Pharmacy School,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DF26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Medicine and Health, The University of Sydney,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25CE8"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Sydney,</w:t>
      </w:r>
      <w:r w:rsid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25CE8"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NSW, Australia</w:t>
      </w:r>
      <w:r w:rsidR="00C25CE8" w:rsidRPr="00C25CE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</w:p>
    <w:p w14:paraId="2820E67F" w14:textId="29EDC895" w:rsidR="00C25CE8" w:rsidRPr="00DF261F" w:rsidRDefault="00C25CE8" w:rsidP="00C25CE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Lambert Initiative for Cannabinoid Therapeutics, Brain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Mind Centre, The University of Sydney, Sydney,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NSW, Australia</w:t>
      </w:r>
      <w:r w:rsidRPr="00C25CE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525ACBD" w14:textId="4834CA97" w:rsidR="00332DF1" w:rsidRPr="00332DF1" w:rsidRDefault="00B8473A" w:rsidP="00332DF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06C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Cell</w:t>
      </w:r>
      <w:r w:rsidR="00070D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ular</w:t>
      </w:r>
      <w:r w:rsidR="00406C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senescence</w:t>
      </w:r>
      <w:r w:rsidR="00070D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characterized by </w:t>
      </w:r>
      <w:r w:rsidR="00406C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 state of stable and irreversible cell cycle arrest</w:t>
      </w:r>
      <w:r w:rsidR="007813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111E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triggered by</w:t>
      </w:r>
      <w:r w:rsidR="007813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various stressors, </w:t>
      </w:r>
      <w:r w:rsidR="000B34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contributing to ageing and age-relate diseases</w:t>
      </w:r>
      <w:r w:rsidR="00CE644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leading to the accumulation of senescent cells and </w:t>
      </w:r>
      <w:r w:rsidR="000E7A8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senescence-associated secretory phenotype (SASP) factor release.</w:t>
      </w:r>
      <w:r w:rsidR="00111E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development of </w:t>
      </w:r>
      <w:proofErr w:type="spellStart"/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senotherapeutics</w:t>
      </w:r>
      <w:proofErr w:type="spellEnd"/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compounds that either eliminate senescent cells (</w:t>
      </w:r>
      <w:proofErr w:type="spellStart"/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senolytics</w:t>
      </w:r>
      <w:proofErr w:type="spellEnd"/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 or modulate their phenotype (</w:t>
      </w:r>
      <w:proofErr w:type="spellStart"/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senomorphics</w:t>
      </w:r>
      <w:proofErr w:type="spellEnd"/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), has emerged as a promising strategy to mitigate aging-related diseases and promote healthy longevity</w:t>
      </w:r>
      <w:r w:rsidR="00E831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55B8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355B8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EN.CITE &lt;EndNote&gt;&lt;Cite&gt;&lt;Author&gt;Chaib&lt;/Author&gt;&lt;Year&gt;2022&lt;/Year&gt;&lt;RecNum&gt;1132&lt;/RecNum&gt;&lt;DisplayText&gt;(Chaib et al., 2022)&lt;/DisplayText&gt;&lt;record&gt;&lt;rec-number&gt;1132&lt;/rec-number&gt;&lt;foreign-keys&gt;&lt;key app="EN" db-id="5a2pdffvyfazvkee25dxvax0fffpvfre5a9w" timestamp="1748323091"&gt;1132&lt;/key&gt;&lt;/foreign-keys&gt;&lt;ref-type name="Journal Article"&gt;17&lt;/ref-type&gt;&lt;contributors&gt;&lt;authors&gt;&lt;author&gt;Chaib, S.&lt;/author&gt;&lt;author&gt;Tchkonia, T.&lt;/author&gt;&lt;author&gt;Kirkland, J. L.&lt;/author&gt;&lt;/authors&gt;&lt;/contributors&gt;&lt;auth-address&gt;Department of Physiology and Biomedical Engineering, Mayo Clinic, Rochester, MN, USA.&amp;#xD;Department of Physiology and Biomedical Engineering, Mayo Clinic, Rochester, MN, USA. kirkland.james@mayo.edu.&amp;#xD;Division of General Internal Medicine, Department of Medicine, Mayo Clinic, Rochester, MN, USA. kirkland.james@mayo.edu.&lt;/auth-address&gt;&lt;titles&gt;&lt;title&gt;Cellular senescence and senolytics: the path to the clinic&lt;/title&gt;&lt;secondary-title&gt;Nat Med&lt;/secondary-title&gt;&lt;/titles&gt;&lt;periodical&gt;&lt;full-title&gt;Nat Med&lt;/full-title&gt;&lt;/periodical&gt;&lt;pages&gt;1556-1568&lt;/pages&gt;&lt;volume&gt;28&lt;/volume&gt;&lt;number&gt;8&lt;/number&gt;&lt;edition&gt;2022/08/12&lt;/edition&gt;&lt;keywords&gt;&lt;keyword&gt;*Aging/physiology&lt;/keyword&gt;&lt;keyword&gt;Cell Cycle Checkpoints&lt;/keyword&gt;&lt;keyword&gt;Cellular Senescence&lt;/keyword&gt;&lt;keyword&gt;Humans&lt;/keyword&gt;&lt;keyword&gt;*Senotherapeutics&lt;/keyword&gt;&lt;/keywords&gt;&lt;dates&gt;&lt;year&gt;2022&lt;/year&gt;&lt;pub-dates&gt;&lt;date&gt;Aug&lt;/date&gt;&lt;/pub-dates&gt;&lt;/dates&gt;&lt;isbn&gt;1546-170X (Electronic)&amp;#xD;1078-8956 (Print)&amp;#xD;1078-8956 (Linking)&lt;/isbn&gt;&lt;accession-num&gt;35953721&lt;/accession-num&gt;&lt;urls&gt;&lt;related-urls&gt;&lt;url&gt;https://www.ncbi.nlm.nih.gov/pubmed/35953721&lt;/url&gt;&lt;/related-urls&gt;&lt;/urls&gt;&lt;custom2&gt;PMC9599677&lt;/custom2&gt;&lt;electronic-resource-num&gt;10.1038/s41591-022-01923-y&lt;/electronic-resource-num&gt;&lt;/record&gt;&lt;/Cite&gt;&lt;/EndNote&gt;</w:instrText>
      </w:r>
      <w:r w:rsidR="00355B8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355B83">
        <w:rPr>
          <w:rFonts w:ascii="Arial" w:eastAsia="Calibri" w:hAnsi="Arial" w:cs="Calibri"/>
          <w:bCs/>
          <w:noProof/>
          <w:kern w:val="0"/>
          <w:sz w:val="20"/>
          <w:szCs w:val="20"/>
          <w14:ligatures w14:val="none"/>
        </w:rPr>
        <w:t>(Chaib et al., 2022)</w:t>
      </w:r>
      <w:r w:rsidR="00355B8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332DF1"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616089A1" w14:textId="77777777" w:rsidR="00332DF1" w:rsidRPr="00332DF1" w:rsidRDefault="00332DF1" w:rsidP="00332DF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Phytocannabinoids, naturally occurring compounds derived from the Cannabis plant, encompass over 100 bioactive molecules with diverse pharmacological properties, including anti-inflammatory, antioxidant, and neuroprotective effects. These attributes suggest their potential as </w:t>
      </w:r>
      <w:proofErr w:type="spellStart"/>
      <w:r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senotherapeutic</w:t>
      </w:r>
      <w:proofErr w:type="spellEnd"/>
      <w:r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agents. However, their specific effects on cellular senescence remain unclear.</w:t>
      </w:r>
    </w:p>
    <w:p w14:paraId="512CFB34" w14:textId="2C67A9B4" w:rsidR="00332DF1" w:rsidRDefault="00332DF1" w:rsidP="00332DF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project aims to investigate the </w:t>
      </w:r>
      <w:proofErr w:type="spellStart"/>
      <w:r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senotherapeutic</w:t>
      </w:r>
      <w:proofErr w:type="spellEnd"/>
      <w:r w:rsidRPr="00332DF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potential of phytocannabinoids using well-established cellular senescence models. By assessing their impact on key senescence markers and SASP modulation, this research will provide insights into their therapeutic viability for age-related conditions.</w:t>
      </w:r>
    </w:p>
    <w:p w14:paraId="172723FA" w14:textId="77777777" w:rsidR="00D05CD1" w:rsidRDefault="00D05CD1" w:rsidP="00332DF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A9FA0F7" w14:textId="7356E437" w:rsidR="00A52457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D545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Cellular senescence was induced in IMR-90 </w:t>
      </w:r>
      <w:r w:rsidR="00792BF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human </w:t>
      </w:r>
      <w:r w:rsidR="001D545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lung fibroblast cells using doxorubicin </w:t>
      </w:r>
      <w:r w:rsidR="00AF4A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8316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DOX, </w:t>
      </w:r>
      <w:r w:rsidR="00AF4A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0.5</w:t>
      </w:r>
      <w:r w:rsidR="00AF4A0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µ</w:t>
      </w:r>
      <w:r w:rsidR="00AF4A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M, 48h), </w:t>
      </w:r>
      <w:r w:rsidR="00397D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followed by </w:t>
      </w:r>
      <w:r w:rsidR="0052166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E43C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5-day</w:t>
      </w:r>
      <w:r w:rsidR="0052166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recovery period in fresh medium to allow the establishment of a stable senescent phenotype. Cells were then treated with </w:t>
      </w:r>
      <w:r w:rsidR="00B04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selected </w:t>
      </w:r>
      <w:r w:rsidR="00397D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phytocannabinoids.</w:t>
      </w:r>
      <w:r w:rsidR="00332F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D41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Sene</w:t>
      </w:r>
      <w:r w:rsidR="00540A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scence</w:t>
      </w:r>
      <w:r w:rsidR="00B04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-associated markers, including </w:t>
      </w:r>
      <w:r w:rsidR="00B0468D" w:rsidRPr="00B04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p16</w:t>
      </w:r>
      <w:r w:rsidR="00B0468D" w:rsidRPr="0040797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^INK4a</w:t>
      </w:r>
      <w:r w:rsidR="00B0468D" w:rsidRPr="00B04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40A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B0468D" w:rsidRPr="00B04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SA-β-galactosidase </w:t>
      </w:r>
      <w:r w:rsidR="00540A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characterized </w:t>
      </w:r>
      <w:r w:rsidR="00AA429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using immunofluorescence staining. </w:t>
      </w:r>
      <w:r w:rsidR="00A524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evaluate compound selectivity, cell viability assays were performed in both senescent and non-senescent cells</w:t>
      </w:r>
      <w:r w:rsidR="004C3A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C3AE4" w:rsidRPr="004C3A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determine selective cytotoxicity and differentiate between </w:t>
      </w:r>
      <w:proofErr w:type="spellStart"/>
      <w:r w:rsidR="004C3AE4" w:rsidRPr="004C3A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senolytic</w:t>
      </w:r>
      <w:proofErr w:type="spellEnd"/>
      <w:r w:rsidR="004C3AE4" w:rsidRPr="004C3A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proofErr w:type="spellStart"/>
      <w:r w:rsidR="004C3AE4" w:rsidRPr="004C3A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senomorphic</w:t>
      </w:r>
      <w:proofErr w:type="spellEnd"/>
      <w:r w:rsidR="004C3AE4" w:rsidRPr="004C3AE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effects.</w:t>
      </w:r>
      <w:r w:rsidR="00965D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37E0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</w:t>
      </w:r>
      <w:r w:rsidR="001F59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vitoclax (ABT-263)</w:t>
      </w:r>
      <w:r w:rsidR="00E45C3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A21FF" w:rsidRPr="000A21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 well-</w:t>
      </w:r>
      <w:r w:rsidR="000A21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known</w:t>
      </w:r>
      <w:r w:rsidR="000A21FF" w:rsidRPr="000A21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0A21FF" w:rsidRPr="000A21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senolytic</w:t>
      </w:r>
      <w:proofErr w:type="spellEnd"/>
      <w:r w:rsidR="000A21FF" w:rsidRPr="000A21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agent, was included as a positive control</w:t>
      </w:r>
      <w:r w:rsidR="000A21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D589B35" w14:textId="77777777" w:rsidR="00D05CD1" w:rsidRDefault="00D05CD1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4AA3D1D" w14:textId="4A288C45" w:rsidR="00461B2F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F43AB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Cell viability analysis confirmed that </w:t>
      </w:r>
      <w:r w:rsidR="0057220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1 </w:t>
      </w:r>
      <w:r w:rsidR="0057220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µ</w:t>
      </w:r>
      <w:r w:rsidR="0057220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 </w:t>
      </w:r>
      <w:r w:rsidR="00F43AB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ABT-263</w:t>
      </w:r>
      <w:r w:rsidR="008316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used as a positive control, significantly reduced DOX-induced senescent cells </w:t>
      </w:r>
      <w:r w:rsidR="001452A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compared to the non-senescent cells. Among the phytocannabinoids, CBC exhibited </w:t>
      </w:r>
      <w:proofErr w:type="spellStart"/>
      <w:r w:rsidR="001452A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senolytic</w:t>
      </w:r>
      <w:proofErr w:type="spellEnd"/>
      <w:r w:rsidR="001452A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activity only at 30</w:t>
      </w:r>
      <w:r w:rsidR="0046195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4619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µ</w:t>
      </w:r>
      <w:r w:rsidR="0046195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M, with </w:t>
      </w:r>
      <w:r w:rsidR="00461B2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 significant reduction in senescent cells</w:t>
      </w:r>
      <w:r w:rsidR="0057220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</w:t>
      </w:r>
      <w:r w:rsidR="00572205" w:rsidRPr="00CE35BA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p</w:t>
      </w:r>
      <w:r w:rsidR="0057220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&lt;</w:t>
      </w:r>
      <w:r w:rsidR="00CE35B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0.0001</w:t>
      </w:r>
      <w:r w:rsidR="0057220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</w:t>
      </w:r>
      <w:r w:rsidR="00461B2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  <w:r w:rsidR="008316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7371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CBCV and CBCA showed no significant effects at low concentrations (</w:t>
      </w:r>
      <w:r w:rsidR="006A46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3 </w:t>
      </w:r>
      <w:r w:rsidR="006A461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µ</w:t>
      </w:r>
      <w:r w:rsidR="006A46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 and 10 </w:t>
      </w:r>
      <w:r w:rsidR="006A461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µ</w:t>
      </w:r>
      <w:r w:rsidR="006A46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</w:t>
      </w:r>
      <w:r w:rsidR="00E7371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</w:t>
      </w:r>
      <w:r w:rsidR="006A461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but both induced selective reduction of senescent cells </w:t>
      </w:r>
      <w:r w:rsidR="00200B4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within their respective groups at 30 </w:t>
      </w:r>
      <w:r w:rsidR="00200B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µ</w:t>
      </w:r>
      <w:r w:rsidR="00200B4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</w:t>
      </w:r>
      <w:r w:rsidR="004F0EF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without </w:t>
      </w:r>
      <w:r w:rsidR="00262CA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affecting non-senescent cells, indicating potential </w:t>
      </w:r>
      <w:proofErr w:type="spellStart"/>
      <w:r w:rsidR="00262CA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senolytic</w:t>
      </w:r>
      <w:proofErr w:type="spellEnd"/>
      <w:r w:rsidR="00262CA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properties</w:t>
      </w:r>
      <w:r w:rsidR="004F0EF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73A24E07" w14:textId="461FA83C" w:rsidR="00262CA7" w:rsidRDefault="00262CA7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13FA5837" w14:textId="60B2B326" w:rsidR="00AE3E6A" w:rsidRDefault="004C4F63" w:rsidP="00AE3E6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C4C9B" w:rsidRPr="005C4C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study highlights the therapeutic potential of phytocannabinoids with anti-ag</w:t>
      </w:r>
      <w:r w:rsidR="004922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5C4C9B" w:rsidRPr="005C4C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ing properties, as demonstrated in human cell models</w:t>
      </w:r>
      <w:r w:rsidR="00A87E9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As interest in cannabis-derived compounds grows within the field of </w:t>
      </w:r>
      <w:proofErr w:type="spellStart"/>
      <w:r w:rsidR="00A87E9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gerotherapeutic</w:t>
      </w:r>
      <w:r w:rsidR="00902B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proofErr w:type="spellEnd"/>
      <w:r w:rsidR="005D7C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these findings support the potential integration of phytocannabinoids into targeted </w:t>
      </w:r>
      <w:proofErr w:type="spellStart"/>
      <w:r w:rsidR="005D7C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senotherapeutic</w:t>
      </w:r>
      <w:proofErr w:type="spellEnd"/>
      <w:r w:rsidR="005D7C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E3E6A" w:rsidRPr="00AE3E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strategies for healthy ag</w:t>
      </w:r>
      <w:r w:rsidR="00902B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AE3E6A" w:rsidRPr="00AE3E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ing and age-related disease.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AF6E552" w14:textId="3DDF9775" w:rsidR="00355B83" w:rsidRDefault="00C315D2" w:rsidP="00355B8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7D06367F" w:rsidR="00113BB7" w:rsidRPr="009B1CBB" w:rsidRDefault="00355B83" w:rsidP="00974A13">
      <w:pPr>
        <w:pStyle w:val="EndNoteBibliography"/>
        <w:ind w:left="720" w:hanging="720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55B83">
        <w:rPr>
          <w:rFonts w:ascii="Arial" w:eastAsia="Calibri" w:hAnsi="Arial" w:cs="Calibri"/>
          <w:bCs/>
          <w:noProof w:val="0"/>
          <w:kern w:val="0"/>
          <w:sz w:val="20"/>
          <w:szCs w:val="20"/>
          <w:lang w:val="en-AU"/>
          <w14:ligatures w14:val="none"/>
        </w:rPr>
        <w:fldChar w:fldCharType="begin"/>
      </w:r>
      <w:r w:rsidRPr="00355B83">
        <w:rPr>
          <w:rFonts w:ascii="Arial" w:eastAsia="Calibri" w:hAnsi="Arial" w:cs="Calibri"/>
          <w:bCs/>
          <w:noProof w:val="0"/>
          <w:kern w:val="0"/>
          <w:sz w:val="20"/>
          <w:szCs w:val="20"/>
          <w:lang w:val="en-AU"/>
          <w14:ligatures w14:val="none"/>
        </w:rPr>
        <w:instrText xml:space="preserve"> ADDIN EN.REFLIST </w:instrText>
      </w:r>
      <w:r w:rsidRPr="00355B83">
        <w:rPr>
          <w:rFonts w:ascii="Arial" w:eastAsia="Calibri" w:hAnsi="Arial" w:cs="Calibri"/>
          <w:bCs/>
          <w:noProof w:val="0"/>
          <w:kern w:val="0"/>
          <w:sz w:val="20"/>
          <w:szCs w:val="20"/>
          <w:lang w:val="en-AU"/>
          <w14:ligatures w14:val="none"/>
        </w:rPr>
        <w:fldChar w:fldCharType="separate"/>
      </w:r>
      <w:r w:rsidRPr="00355B83">
        <w:rPr>
          <w:rFonts w:ascii="Arial" w:eastAsia="Calibri" w:hAnsi="Arial" w:cs="Calibri"/>
          <w:bCs/>
          <w:noProof w:val="0"/>
          <w:kern w:val="0"/>
          <w:sz w:val="20"/>
          <w:szCs w:val="20"/>
          <w:lang w:val="en-AU"/>
          <w14:ligatures w14:val="none"/>
        </w:rPr>
        <w:t xml:space="preserve">Chaib, S., Tchkonia, T., &amp; Kirkland, J. L. (2022). Cellular senescence and senolytics: the path to the clinic. Nat Med, 28(8), 1556-1568. </w:t>
      </w:r>
      <w:hyperlink r:id="rId8" w:history="1">
        <w:r w:rsidRPr="00355B83">
          <w:rPr>
            <w:rFonts w:ascii="Arial" w:eastAsia="Calibri" w:hAnsi="Arial" w:cs="Calibri"/>
            <w:bCs/>
            <w:noProof w:val="0"/>
            <w:kern w:val="0"/>
            <w:sz w:val="20"/>
            <w:szCs w:val="20"/>
            <w:lang w:val="en-AU"/>
            <w14:ligatures w14:val="none"/>
          </w:rPr>
          <w:t>https://doi.org/10.1038/s41591-022-01923-y</w:t>
        </w:r>
      </w:hyperlink>
      <w:r w:rsidRPr="00355B83">
        <w:rPr>
          <w:rFonts w:ascii="Arial" w:eastAsia="Calibri" w:hAnsi="Arial" w:cs="Calibri"/>
          <w:bCs/>
          <w:noProof w:val="0"/>
          <w:kern w:val="0"/>
          <w:sz w:val="20"/>
          <w:szCs w:val="20"/>
          <w:lang w:val="en-AU"/>
          <w14:ligatures w14:val="none"/>
        </w:rPr>
        <w:t xml:space="preserve"> </w:t>
      </w:r>
      <w:r w:rsidRPr="00355B83">
        <w:rPr>
          <w:rFonts w:ascii="Arial" w:eastAsia="Calibri" w:hAnsi="Arial" w:cs="Calibri"/>
          <w:bCs/>
          <w:kern w:val="0"/>
          <w:sz w:val="20"/>
          <w:szCs w:val="20"/>
          <w:lang w:val="en-AU"/>
          <w14:ligatures w14:val="none"/>
        </w:rPr>
        <w:fldChar w:fldCharType="end"/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a2pdffvyfazvkee25dxvax0fffpvfre5a9w&quot;&gt;My EndNote Library&lt;record-ids&gt;&lt;item&gt;1132&lt;/item&gt;&lt;/record-ids&gt;&lt;/item&gt;&lt;/Libraries&gt;"/>
  </w:docVars>
  <w:rsids>
    <w:rsidRoot w:val="00C315D2"/>
    <w:rsid w:val="00070DA9"/>
    <w:rsid w:val="000A21FF"/>
    <w:rsid w:val="000B34DE"/>
    <w:rsid w:val="000E7A8E"/>
    <w:rsid w:val="00107368"/>
    <w:rsid w:val="00111E6A"/>
    <w:rsid w:val="00113BB7"/>
    <w:rsid w:val="001308BD"/>
    <w:rsid w:val="001452A9"/>
    <w:rsid w:val="00174768"/>
    <w:rsid w:val="001D20EE"/>
    <w:rsid w:val="001D545F"/>
    <w:rsid w:val="001D63C4"/>
    <w:rsid w:val="001F0DA7"/>
    <w:rsid w:val="001F59EE"/>
    <w:rsid w:val="00200B44"/>
    <w:rsid w:val="002017E6"/>
    <w:rsid w:val="00221785"/>
    <w:rsid w:val="0023615F"/>
    <w:rsid w:val="00262CA7"/>
    <w:rsid w:val="00280B60"/>
    <w:rsid w:val="00294059"/>
    <w:rsid w:val="002B4CE9"/>
    <w:rsid w:val="00311A73"/>
    <w:rsid w:val="003206E4"/>
    <w:rsid w:val="00323D8D"/>
    <w:rsid w:val="00332DF1"/>
    <w:rsid w:val="00332F0C"/>
    <w:rsid w:val="00341CE2"/>
    <w:rsid w:val="00355B83"/>
    <w:rsid w:val="00376AD9"/>
    <w:rsid w:val="00397D7C"/>
    <w:rsid w:val="00397DD1"/>
    <w:rsid w:val="003A6D5C"/>
    <w:rsid w:val="003D1561"/>
    <w:rsid w:val="00406C95"/>
    <w:rsid w:val="00407978"/>
    <w:rsid w:val="00461950"/>
    <w:rsid w:val="00461B2F"/>
    <w:rsid w:val="004922FF"/>
    <w:rsid w:val="004A51B6"/>
    <w:rsid w:val="004C3AE4"/>
    <w:rsid w:val="004C4F63"/>
    <w:rsid w:val="004F0EF2"/>
    <w:rsid w:val="00510CF8"/>
    <w:rsid w:val="0052166F"/>
    <w:rsid w:val="00540AAC"/>
    <w:rsid w:val="00572205"/>
    <w:rsid w:val="00575A29"/>
    <w:rsid w:val="005C4C9B"/>
    <w:rsid w:val="005D7C78"/>
    <w:rsid w:val="00601754"/>
    <w:rsid w:val="006A34BE"/>
    <w:rsid w:val="006A4613"/>
    <w:rsid w:val="006D17D9"/>
    <w:rsid w:val="006D5792"/>
    <w:rsid w:val="006D6B6F"/>
    <w:rsid w:val="006F3F1C"/>
    <w:rsid w:val="007141F2"/>
    <w:rsid w:val="007561D8"/>
    <w:rsid w:val="00781353"/>
    <w:rsid w:val="00784BBA"/>
    <w:rsid w:val="00792BF0"/>
    <w:rsid w:val="00795378"/>
    <w:rsid w:val="00796206"/>
    <w:rsid w:val="007B31E9"/>
    <w:rsid w:val="007C367E"/>
    <w:rsid w:val="008010B9"/>
    <w:rsid w:val="008071C5"/>
    <w:rsid w:val="008316B5"/>
    <w:rsid w:val="00837E07"/>
    <w:rsid w:val="0087220E"/>
    <w:rsid w:val="008A0E52"/>
    <w:rsid w:val="008F76D4"/>
    <w:rsid w:val="00902B9B"/>
    <w:rsid w:val="00906D34"/>
    <w:rsid w:val="009140FB"/>
    <w:rsid w:val="00923427"/>
    <w:rsid w:val="00933DC9"/>
    <w:rsid w:val="00936D4C"/>
    <w:rsid w:val="00944887"/>
    <w:rsid w:val="009523F9"/>
    <w:rsid w:val="009650DF"/>
    <w:rsid w:val="00965D8A"/>
    <w:rsid w:val="00974A13"/>
    <w:rsid w:val="009B1CBB"/>
    <w:rsid w:val="00A0516D"/>
    <w:rsid w:val="00A52457"/>
    <w:rsid w:val="00A62925"/>
    <w:rsid w:val="00A87E91"/>
    <w:rsid w:val="00AA4291"/>
    <w:rsid w:val="00AD411A"/>
    <w:rsid w:val="00AD5EB3"/>
    <w:rsid w:val="00AE3E6A"/>
    <w:rsid w:val="00AF4A05"/>
    <w:rsid w:val="00B0468D"/>
    <w:rsid w:val="00B4721D"/>
    <w:rsid w:val="00B8473A"/>
    <w:rsid w:val="00C00324"/>
    <w:rsid w:val="00C21815"/>
    <w:rsid w:val="00C22BCE"/>
    <w:rsid w:val="00C25CE8"/>
    <w:rsid w:val="00C315D2"/>
    <w:rsid w:val="00C318BC"/>
    <w:rsid w:val="00C353D8"/>
    <w:rsid w:val="00CE35BA"/>
    <w:rsid w:val="00CE644A"/>
    <w:rsid w:val="00CF5A91"/>
    <w:rsid w:val="00D02BB1"/>
    <w:rsid w:val="00D05CD1"/>
    <w:rsid w:val="00D45A74"/>
    <w:rsid w:val="00D611C1"/>
    <w:rsid w:val="00D7428F"/>
    <w:rsid w:val="00D92376"/>
    <w:rsid w:val="00D9288C"/>
    <w:rsid w:val="00DA7BF7"/>
    <w:rsid w:val="00DF261F"/>
    <w:rsid w:val="00DF6716"/>
    <w:rsid w:val="00E43CC0"/>
    <w:rsid w:val="00E45C31"/>
    <w:rsid w:val="00E6527A"/>
    <w:rsid w:val="00E7371F"/>
    <w:rsid w:val="00E73A8E"/>
    <w:rsid w:val="00E83184"/>
    <w:rsid w:val="00EC3746"/>
    <w:rsid w:val="00F43ABA"/>
    <w:rsid w:val="00F539FB"/>
    <w:rsid w:val="00F85528"/>
    <w:rsid w:val="00FA0910"/>
    <w:rsid w:val="00FF46F5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63"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355B83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5B83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55B83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55B83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55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91-022-01923-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Zhizhen Wang</cp:lastModifiedBy>
  <cp:revision>91</cp:revision>
  <dcterms:created xsi:type="dcterms:W3CDTF">2025-03-11T02:17:00Z</dcterms:created>
  <dcterms:modified xsi:type="dcterms:W3CDTF">2025-05-30T02:30:00Z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