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44C6D" w14:textId="77777777" w:rsidR="002A1F7D" w:rsidRDefault="00A516D5">
      <w:pPr>
        <w:jc w:val="both"/>
        <w:rPr>
          <w:rFonts w:ascii="Calibri" w:eastAsia="Calibri" w:hAnsi="Calibri" w:cs="Calibri"/>
          <w:b/>
          <w:bCs/>
          <w:sz w:val="20"/>
          <w:szCs w:val="20"/>
        </w:rPr>
      </w:pPr>
      <w:r>
        <w:rPr>
          <w:rFonts w:ascii="Calibri" w:hAnsi="Calibri"/>
          <w:b/>
          <w:bCs/>
          <w:sz w:val="20"/>
          <w:szCs w:val="20"/>
        </w:rPr>
        <w:t>Uncovering the Diversity and Clinical Significance of Myeloid-Derived Cells in the Tumor Microenvironment.</w:t>
      </w:r>
    </w:p>
    <w:p w14:paraId="1AA2370D" w14:textId="764E690E" w:rsidR="002A1F7D" w:rsidRDefault="00A516D5" w:rsidP="00A516D5">
      <w:pPr>
        <w:pStyle w:val="Padro"/>
        <w:suppressAutoHyphens/>
        <w:spacing w:before="0" w:after="107" w:line="240" w:lineRule="auto"/>
        <w:rPr>
          <w:rFonts w:ascii="Calibri" w:eastAsia="Calibri" w:hAnsi="Calibri" w:cs="Calibri"/>
          <w:sz w:val="20"/>
          <w:szCs w:val="20"/>
          <w:u w:color="000000"/>
        </w:rPr>
      </w:pPr>
      <w:r>
        <w:rPr>
          <w:rFonts w:ascii="Calibri" w:hAnsi="Calibri"/>
          <w:color w:val="111111"/>
          <w:sz w:val="20"/>
          <w:szCs w:val="20"/>
          <w:shd w:val="clear" w:color="auto" w:fill="FFFFFF"/>
        </w:rPr>
        <w:t>Gabriela Rapozo Guimar</w:t>
      </w:r>
      <w:r>
        <w:rPr>
          <w:rFonts w:ascii="Calibri" w:hAnsi="Calibri"/>
          <w:color w:val="111111"/>
          <w:sz w:val="20"/>
          <w:szCs w:val="20"/>
          <w:shd w:val="clear" w:color="auto" w:fill="FFFFFF"/>
          <w:lang w:val="pt-PT"/>
        </w:rPr>
        <w:t>ã</w:t>
      </w:r>
      <w:r>
        <w:rPr>
          <w:rFonts w:ascii="Calibri" w:hAnsi="Calibri"/>
          <w:color w:val="111111"/>
          <w:sz w:val="20"/>
          <w:szCs w:val="20"/>
          <w:shd w:val="clear" w:color="auto" w:fill="FFFFFF"/>
        </w:rPr>
        <w:t>es</w:t>
      </w:r>
      <w:r>
        <w:rPr>
          <w:rFonts w:ascii="Calibri" w:hAnsi="Calibri"/>
          <w:color w:val="111111"/>
          <w:sz w:val="20"/>
          <w:szCs w:val="20"/>
          <w:shd w:val="clear" w:color="auto" w:fill="FFFFFF"/>
          <w:vertAlign w:val="superscript"/>
        </w:rPr>
        <w:t>1</w:t>
      </w:r>
      <w:r>
        <w:rPr>
          <w:rFonts w:ascii="Calibri" w:hAnsi="Calibri"/>
          <w:color w:val="111111"/>
          <w:sz w:val="20"/>
          <w:szCs w:val="20"/>
          <w:shd w:val="clear" w:color="auto" w:fill="FFFFFF"/>
        </w:rPr>
        <w:t>, Nayara Gusm</w:t>
      </w:r>
      <w:r>
        <w:rPr>
          <w:rFonts w:ascii="Calibri" w:hAnsi="Calibri"/>
          <w:color w:val="111111"/>
          <w:sz w:val="20"/>
          <w:szCs w:val="20"/>
          <w:shd w:val="clear" w:color="auto" w:fill="FFFFFF"/>
          <w:lang w:val="pt-PT"/>
        </w:rPr>
        <w:t>ã</w:t>
      </w:r>
      <w:r>
        <w:rPr>
          <w:rFonts w:ascii="Calibri" w:hAnsi="Calibri"/>
          <w:color w:val="111111"/>
          <w:sz w:val="20"/>
          <w:szCs w:val="20"/>
          <w:shd w:val="clear" w:color="auto" w:fill="FFFFFF"/>
        </w:rPr>
        <w:t>o Tessarollo</w:t>
      </w:r>
      <w:r>
        <w:rPr>
          <w:rFonts w:ascii="Calibri" w:hAnsi="Calibri"/>
          <w:color w:val="111111"/>
          <w:sz w:val="20"/>
          <w:szCs w:val="20"/>
          <w:shd w:val="clear" w:color="auto" w:fill="FFFFFF"/>
          <w:vertAlign w:val="superscript"/>
        </w:rPr>
        <w:t>1</w:t>
      </w:r>
      <w:r>
        <w:rPr>
          <w:rFonts w:ascii="Calibri" w:hAnsi="Calibri"/>
          <w:color w:val="111111"/>
          <w:sz w:val="20"/>
          <w:szCs w:val="20"/>
          <w:shd w:val="clear" w:color="auto" w:fill="FFFFFF"/>
        </w:rPr>
        <w:t xml:space="preserve">,  </w:t>
      </w:r>
      <w:r>
        <w:rPr>
          <w:rFonts w:ascii="Calibri" w:hAnsi="Calibri"/>
          <w:color w:val="111111"/>
          <w:sz w:val="20"/>
          <w:szCs w:val="20"/>
          <w:shd w:val="clear" w:color="auto" w:fill="FFFFFF"/>
          <w:lang w:val="pt-PT"/>
        </w:rPr>
        <w:t>Alessandra de Freitas Serain</w:t>
      </w:r>
      <w:r>
        <w:rPr>
          <w:rFonts w:ascii="Calibri" w:hAnsi="Calibri"/>
          <w:color w:val="111111"/>
          <w:sz w:val="20"/>
          <w:szCs w:val="20"/>
          <w:shd w:val="clear" w:color="auto" w:fill="FFFFFF"/>
          <w:vertAlign w:val="superscript"/>
        </w:rPr>
        <w:t>1</w:t>
      </w:r>
      <w:r>
        <w:rPr>
          <w:rFonts w:ascii="Calibri" w:hAnsi="Calibri"/>
          <w:color w:val="111111"/>
          <w:sz w:val="20"/>
          <w:szCs w:val="20"/>
          <w:shd w:val="clear" w:color="auto" w:fill="FFFFFF"/>
        </w:rPr>
        <w:t>, Diego Jos</w:t>
      </w:r>
      <w:r>
        <w:rPr>
          <w:rFonts w:ascii="Calibri" w:hAnsi="Calibri"/>
          <w:color w:val="111111"/>
          <w:sz w:val="20"/>
          <w:szCs w:val="20"/>
          <w:shd w:val="clear" w:color="auto" w:fill="FFFFFF"/>
          <w:lang w:val="fr-FR"/>
        </w:rPr>
        <w:t xml:space="preserve">é </w:t>
      </w:r>
      <w:r>
        <w:rPr>
          <w:rFonts w:ascii="Calibri" w:hAnsi="Calibri"/>
          <w:color w:val="111111"/>
          <w:sz w:val="20"/>
          <w:szCs w:val="20"/>
          <w:shd w:val="clear" w:color="auto" w:fill="FFFFFF"/>
          <w:lang w:val="pt-PT"/>
        </w:rPr>
        <w:t>Gomes de Paula</w:t>
      </w:r>
      <w:r>
        <w:rPr>
          <w:rFonts w:ascii="Calibri" w:hAnsi="Calibri"/>
          <w:color w:val="111111"/>
          <w:sz w:val="20"/>
          <w:szCs w:val="20"/>
          <w:shd w:val="clear" w:color="auto" w:fill="FFFFFF"/>
        </w:rPr>
        <w:t>²</w:t>
      </w:r>
      <w:r>
        <w:rPr>
          <w:rFonts w:ascii="Calibri" w:hAnsi="Calibri"/>
          <w:color w:val="111111"/>
          <w:sz w:val="20"/>
          <w:szCs w:val="20"/>
          <w:shd w:val="clear" w:color="auto" w:fill="FFFFFF"/>
          <w:lang w:val="nl-NL"/>
        </w:rPr>
        <w:t>; Luciana de Castro Moreeuw</w:t>
      </w:r>
      <w:r>
        <w:rPr>
          <w:rFonts w:ascii="Calibri" w:hAnsi="Calibri"/>
          <w:color w:val="111111"/>
          <w:sz w:val="20"/>
          <w:szCs w:val="20"/>
          <w:shd w:val="clear" w:color="auto" w:fill="FFFFFF"/>
        </w:rPr>
        <w:t>², Clá</w:t>
      </w:r>
      <w:r>
        <w:rPr>
          <w:rFonts w:ascii="Calibri" w:hAnsi="Calibri"/>
          <w:color w:val="111111"/>
          <w:sz w:val="20"/>
          <w:szCs w:val="20"/>
          <w:shd w:val="clear" w:color="auto" w:fill="FFFFFF"/>
          <w:lang w:val="pt-PT"/>
        </w:rPr>
        <w:t>udia Bessa Pereira Chaves</w:t>
      </w:r>
      <w:r>
        <w:rPr>
          <w:rFonts w:ascii="Calibri" w:hAnsi="Calibri"/>
          <w:color w:val="111111"/>
          <w:sz w:val="20"/>
          <w:szCs w:val="20"/>
          <w:shd w:val="clear" w:color="auto" w:fill="FFFFFF"/>
        </w:rPr>
        <w:t>²</w:t>
      </w:r>
      <w:r>
        <w:rPr>
          <w:rFonts w:ascii="Calibri" w:hAnsi="Calibri"/>
          <w:color w:val="111111"/>
          <w:sz w:val="20"/>
          <w:szCs w:val="20"/>
          <w:shd w:val="clear" w:color="auto" w:fill="FFFFFF"/>
          <w:lang w:val="pt-PT"/>
        </w:rPr>
        <w:t>; Andreia Cristina de Melo</w:t>
      </w:r>
      <w:r>
        <w:rPr>
          <w:rFonts w:ascii="Calibri" w:hAnsi="Calibri"/>
          <w:color w:val="111111"/>
          <w:sz w:val="20"/>
          <w:szCs w:val="20"/>
          <w:shd w:val="clear" w:color="auto" w:fill="FFFFFF"/>
        </w:rPr>
        <w:t>³; Jo</w:t>
      </w:r>
      <w:r>
        <w:rPr>
          <w:rFonts w:ascii="Calibri" w:hAnsi="Calibri"/>
          <w:color w:val="111111"/>
          <w:sz w:val="20"/>
          <w:szCs w:val="20"/>
          <w:shd w:val="clear" w:color="auto" w:fill="FFFFFF"/>
          <w:lang w:val="pt-PT"/>
        </w:rPr>
        <w:t>ão Paulo de Biaso Viola</w:t>
      </w:r>
      <w:r>
        <w:rPr>
          <w:rFonts w:ascii="Calibri" w:hAnsi="Calibri"/>
          <w:color w:val="111111"/>
          <w:sz w:val="20"/>
          <w:szCs w:val="20"/>
          <w:shd w:val="clear" w:color="auto" w:fill="FFFFFF"/>
        </w:rPr>
        <w:t>⁴</w:t>
      </w:r>
      <w:r>
        <w:rPr>
          <w:rFonts w:ascii="Calibri" w:hAnsi="Calibri"/>
          <w:color w:val="111111"/>
          <w:sz w:val="20"/>
          <w:szCs w:val="20"/>
          <w:shd w:val="clear" w:color="auto" w:fill="FFFFFF"/>
          <w:lang w:val="pt-PT"/>
        </w:rPr>
        <w:t>; Pedro Manoel Mendes de Moraes Vieira</w:t>
      </w:r>
      <w:r>
        <w:rPr>
          <w:rFonts w:ascii="Calibri" w:hAnsi="Calibri"/>
          <w:color w:val="111111"/>
          <w:sz w:val="20"/>
          <w:szCs w:val="20"/>
          <w:shd w:val="clear" w:color="auto" w:fill="FFFFFF"/>
        </w:rPr>
        <w:t>⁵</w:t>
      </w:r>
      <w:r>
        <w:rPr>
          <w:rFonts w:ascii="Calibri" w:hAnsi="Calibri"/>
          <w:color w:val="111111"/>
          <w:sz w:val="20"/>
          <w:szCs w:val="20"/>
          <w:shd w:val="clear" w:color="auto" w:fill="FFFFFF"/>
          <w:lang w:val="pt-PT"/>
        </w:rPr>
        <w:t>, Marcelo Alves da Silva Mori</w:t>
      </w:r>
      <w:r>
        <w:rPr>
          <w:rFonts w:ascii="Calibri" w:hAnsi="Calibri"/>
          <w:color w:val="111111"/>
          <w:sz w:val="20"/>
          <w:szCs w:val="20"/>
          <w:shd w:val="clear" w:color="auto" w:fill="FFFFFF"/>
        </w:rPr>
        <w:t xml:space="preserve">⁶, </w:t>
      </w:r>
      <w:r>
        <w:rPr>
          <w:rFonts w:ascii="Calibri" w:hAnsi="Calibri"/>
          <w:color w:val="111111"/>
          <w:sz w:val="20"/>
          <w:szCs w:val="20"/>
          <w:u w:val="single"/>
          <w:shd w:val="clear" w:color="auto" w:fill="FFFFFF"/>
        </w:rPr>
        <w:t>Mariana Boroni</w:t>
      </w:r>
      <w:r>
        <w:rPr>
          <w:rFonts w:ascii="Calibri" w:hAnsi="Calibri"/>
          <w:color w:val="111111"/>
          <w:sz w:val="20"/>
          <w:szCs w:val="20"/>
          <w:shd w:val="clear" w:color="auto" w:fill="FFFFFF"/>
          <w:vertAlign w:val="superscript"/>
        </w:rPr>
        <w:t>1</w:t>
      </w:r>
      <w:r>
        <w:rPr>
          <w:rFonts w:ascii="Calibri" w:hAnsi="Calibri"/>
          <w:color w:val="111111"/>
          <w:sz w:val="20"/>
          <w:szCs w:val="20"/>
          <w:shd w:val="clear" w:color="auto" w:fill="FFFFFF"/>
        </w:rPr>
        <w:t>.¹ Laborat</w:t>
      </w:r>
      <w:proofErr w:type="spellStart"/>
      <w:r>
        <w:rPr>
          <w:rFonts w:ascii="Calibri" w:hAnsi="Calibri"/>
          <w:color w:val="111111"/>
          <w:sz w:val="20"/>
          <w:szCs w:val="20"/>
          <w:shd w:val="clear" w:color="auto" w:fill="FFFFFF"/>
          <w:lang w:val="es-ES_tradnl"/>
        </w:rPr>
        <w:t>ó</w:t>
      </w:r>
      <w:proofErr w:type="spellEnd"/>
      <w:r>
        <w:rPr>
          <w:rFonts w:ascii="Calibri" w:hAnsi="Calibri"/>
          <w:color w:val="111111"/>
          <w:sz w:val="20"/>
          <w:szCs w:val="20"/>
          <w:shd w:val="clear" w:color="auto" w:fill="FFFFFF"/>
        </w:rPr>
        <w:t>rio de Bioinformá</w:t>
      </w:r>
      <w:r>
        <w:rPr>
          <w:rFonts w:ascii="Calibri" w:hAnsi="Calibri"/>
          <w:color w:val="111111"/>
          <w:sz w:val="20"/>
          <w:szCs w:val="20"/>
          <w:shd w:val="clear" w:color="auto" w:fill="FFFFFF"/>
          <w:lang w:val="pt-PT"/>
        </w:rPr>
        <w:t>tica e Biologia Computacional, Instituto Nacional de C</w:t>
      </w:r>
      <w:r>
        <w:rPr>
          <w:rFonts w:ascii="Calibri" w:hAnsi="Calibri"/>
          <w:color w:val="111111"/>
          <w:sz w:val="20"/>
          <w:szCs w:val="20"/>
          <w:shd w:val="clear" w:color="auto" w:fill="FFFFFF"/>
        </w:rPr>
        <w:t>â</w:t>
      </w:r>
      <w:r>
        <w:rPr>
          <w:rFonts w:ascii="Calibri" w:hAnsi="Calibri"/>
          <w:color w:val="111111"/>
          <w:sz w:val="20"/>
          <w:szCs w:val="20"/>
          <w:shd w:val="clear" w:color="auto" w:fill="FFFFFF"/>
          <w:lang w:val="pt-PT"/>
        </w:rPr>
        <w:t xml:space="preserve">ncer, Rio de Janeiro, RJ; </w:t>
      </w:r>
      <w:r>
        <w:rPr>
          <w:rFonts w:ascii="Calibri" w:hAnsi="Calibri"/>
          <w:color w:val="111111"/>
          <w:sz w:val="20"/>
          <w:szCs w:val="20"/>
          <w:shd w:val="clear" w:color="auto" w:fill="FFFFFF"/>
        </w:rPr>
        <w:t>²Se</w:t>
      </w:r>
      <w:r>
        <w:rPr>
          <w:rFonts w:ascii="Calibri" w:hAnsi="Calibri"/>
          <w:color w:val="111111"/>
          <w:sz w:val="20"/>
          <w:szCs w:val="20"/>
          <w:shd w:val="clear" w:color="auto" w:fill="FFFFFF"/>
          <w:lang w:val="pt-PT"/>
        </w:rPr>
        <w:t>çã</w:t>
      </w:r>
      <w:r>
        <w:rPr>
          <w:rFonts w:ascii="Calibri" w:hAnsi="Calibri"/>
          <w:color w:val="111111"/>
          <w:sz w:val="20"/>
          <w:szCs w:val="20"/>
          <w:shd w:val="clear" w:color="auto" w:fill="FFFFFF"/>
        </w:rPr>
        <w:t>o de Oncologia Ginecol</w:t>
      </w:r>
      <w:proofErr w:type="spellStart"/>
      <w:r>
        <w:rPr>
          <w:rFonts w:ascii="Calibri" w:hAnsi="Calibri"/>
          <w:color w:val="111111"/>
          <w:sz w:val="20"/>
          <w:szCs w:val="20"/>
          <w:shd w:val="clear" w:color="auto" w:fill="FFFFFF"/>
          <w:lang w:val="es-ES_tradnl"/>
        </w:rPr>
        <w:t>ó</w:t>
      </w:r>
      <w:proofErr w:type="spellEnd"/>
      <w:r>
        <w:rPr>
          <w:rFonts w:ascii="Calibri" w:hAnsi="Calibri"/>
          <w:color w:val="111111"/>
          <w:sz w:val="20"/>
          <w:szCs w:val="20"/>
          <w:shd w:val="clear" w:color="auto" w:fill="FFFFFF"/>
          <w:lang w:val="pt-PT"/>
        </w:rPr>
        <w:t>gica, Instituto Nacional de C</w:t>
      </w:r>
      <w:r>
        <w:rPr>
          <w:rFonts w:ascii="Calibri" w:hAnsi="Calibri"/>
          <w:color w:val="111111"/>
          <w:sz w:val="20"/>
          <w:szCs w:val="20"/>
          <w:shd w:val="clear" w:color="auto" w:fill="FFFFFF"/>
        </w:rPr>
        <w:t>â</w:t>
      </w:r>
      <w:r>
        <w:rPr>
          <w:rFonts w:ascii="Calibri" w:hAnsi="Calibri"/>
          <w:color w:val="111111"/>
          <w:sz w:val="20"/>
          <w:szCs w:val="20"/>
          <w:shd w:val="clear" w:color="auto" w:fill="FFFFFF"/>
          <w:lang w:val="pt-PT"/>
        </w:rPr>
        <w:t xml:space="preserve">ncer, Rio de Janeiro, RJ; </w:t>
      </w:r>
      <w:r>
        <w:rPr>
          <w:rFonts w:ascii="Calibri" w:hAnsi="Calibri"/>
          <w:color w:val="111111"/>
          <w:sz w:val="20"/>
          <w:szCs w:val="20"/>
          <w:shd w:val="clear" w:color="auto" w:fill="FFFFFF"/>
        </w:rPr>
        <w:t>³</w:t>
      </w:r>
      <w:r>
        <w:rPr>
          <w:rFonts w:ascii="Calibri" w:hAnsi="Calibri"/>
          <w:color w:val="111111"/>
          <w:sz w:val="20"/>
          <w:szCs w:val="20"/>
          <w:shd w:val="clear" w:color="auto" w:fill="FFFFFF"/>
          <w:lang w:val="es-ES_tradnl"/>
        </w:rPr>
        <w:t>Divis</w:t>
      </w:r>
      <w:r>
        <w:rPr>
          <w:rFonts w:ascii="Calibri" w:hAnsi="Calibri"/>
          <w:color w:val="111111"/>
          <w:sz w:val="20"/>
          <w:szCs w:val="20"/>
          <w:shd w:val="clear" w:color="auto" w:fill="FFFFFF"/>
          <w:lang w:val="pt-PT"/>
        </w:rPr>
        <w:t>ão de Pesquisa Cl</w:t>
      </w:r>
      <w:r>
        <w:rPr>
          <w:rFonts w:ascii="Calibri" w:hAnsi="Calibri"/>
          <w:color w:val="111111"/>
          <w:sz w:val="20"/>
          <w:szCs w:val="20"/>
          <w:shd w:val="clear" w:color="auto" w:fill="FFFFFF"/>
        </w:rPr>
        <w:t>í</w:t>
      </w:r>
      <w:r>
        <w:rPr>
          <w:rFonts w:ascii="Calibri" w:hAnsi="Calibri"/>
          <w:color w:val="111111"/>
          <w:sz w:val="20"/>
          <w:szCs w:val="20"/>
          <w:shd w:val="clear" w:color="auto" w:fill="FFFFFF"/>
          <w:lang w:val="pt-PT"/>
        </w:rPr>
        <w:t>nica e Desenvolvimento Tecnol</w:t>
      </w:r>
      <w:proofErr w:type="spellStart"/>
      <w:r>
        <w:rPr>
          <w:rFonts w:ascii="Calibri" w:hAnsi="Calibri"/>
          <w:color w:val="111111"/>
          <w:sz w:val="20"/>
          <w:szCs w:val="20"/>
          <w:shd w:val="clear" w:color="auto" w:fill="FFFFFF"/>
          <w:lang w:val="es-ES_tradnl"/>
        </w:rPr>
        <w:t>ó</w:t>
      </w:r>
      <w:proofErr w:type="spellEnd"/>
      <w:r>
        <w:rPr>
          <w:rFonts w:ascii="Calibri" w:hAnsi="Calibri"/>
          <w:color w:val="111111"/>
          <w:sz w:val="20"/>
          <w:szCs w:val="20"/>
          <w:shd w:val="clear" w:color="auto" w:fill="FFFFFF"/>
          <w:lang w:val="pt-PT"/>
        </w:rPr>
        <w:t>gico, Instituto Nacional de C</w:t>
      </w:r>
      <w:r>
        <w:rPr>
          <w:rFonts w:ascii="Calibri" w:hAnsi="Calibri"/>
          <w:color w:val="111111"/>
          <w:sz w:val="20"/>
          <w:szCs w:val="20"/>
          <w:shd w:val="clear" w:color="auto" w:fill="FFFFFF"/>
        </w:rPr>
        <w:t>â</w:t>
      </w:r>
      <w:r>
        <w:rPr>
          <w:rFonts w:ascii="Calibri" w:hAnsi="Calibri"/>
          <w:color w:val="111111"/>
          <w:sz w:val="20"/>
          <w:szCs w:val="20"/>
          <w:shd w:val="clear" w:color="auto" w:fill="FFFFFF"/>
          <w:lang w:val="pt-PT"/>
        </w:rPr>
        <w:t xml:space="preserve">ncer, Rio de Janeiro, RJ; </w:t>
      </w:r>
      <w:r>
        <w:rPr>
          <w:rFonts w:ascii="Calibri" w:hAnsi="Calibri"/>
          <w:color w:val="111111"/>
          <w:sz w:val="20"/>
          <w:szCs w:val="20"/>
          <w:shd w:val="clear" w:color="auto" w:fill="FFFFFF"/>
        </w:rPr>
        <w:t xml:space="preserve">⁴ </w:t>
      </w:r>
      <w:r>
        <w:rPr>
          <w:rFonts w:ascii="Calibri" w:hAnsi="Calibri"/>
          <w:color w:val="111111"/>
          <w:sz w:val="20"/>
          <w:szCs w:val="20"/>
          <w:shd w:val="clear" w:color="auto" w:fill="FFFFFF"/>
          <w:lang w:val="pt-PT"/>
        </w:rPr>
        <w:t>Programa de Imunologia e Biologia Tumoral, Instituto Nacional de C</w:t>
      </w:r>
      <w:r>
        <w:rPr>
          <w:rFonts w:ascii="Calibri" w:hAnsi="Calibri"/>
          <w:color w:val="111111"/>
          <w:sz w:val="20"/>
          <w:szCs w:val="20"/>
          <w:shd w:val="clear" w:color="auto" w:fill="FFFFFF"/>
        </w:rPr>
        <w:t>â</w:t>
      </w:r>
      <w:r>
        <w:rPr>
          <w:rFonts w:ascii="Calibri" w:hAnsi="Calibri"/>
          <w:color w:val="111111"/>
          <w:sz w:val="20"/>
          <w:szCs w:val="20"/>
          <w:shd w:val="clear" w:color="auto" w:fill="FFFFFF"/>
          <w:lang w:val="pt-PT"/>
        </w:rPr>
        <w:t xml:space="preserve">ncer, Rio de Janeiro, RJ; </w:t>
      </w:r>
      <w:r>
        <w:rPr>
          <w:rFonts w:ascii="Calibri" w:hAnsi="Calibri"/>
          <w:color w:val="111111"/>
          <w:sz w:val="20"/>
          <w:szCs w:val="20"/>
          <w:shd w:val="clear" w:color="auto" w:fill="FFFFFF"/>
        </w:rPr>
        <w:t>⁵Laborat</w:t>
      </w:r>
      <w:proofErr w:type="spellStart"/>
      <w:r>
        <w:rPr>
          <w:rFonts w:ascii="Calibri" w:hAnsi="Calibri"/>
          <w:color w:val="111111"/>
          <w:sz w:val="20"/>
          <w:szCs w:val="20"/>
          <w:shd w:val="clear" w:color="auto" w:fill="FFFFFF"/>
          <w:lang w:val="es-ES_tradnl"/>
        </w:rPr>
        <w:t>ó</w:t>
      </w:r>
      <w:proofErr w:type="spellEnd"/>
      <w:r>
        <w:rPr>
          <w:rFonts w:ascii="Calibri" w:hAnsi="Calibri"/>
          <w:color w:val="111111"/>
          <w:sz w:val="20"/>
          <w:szCs w:val="20"/>
          <w:shd w:val="clear" w:color="auto" w:fill="FFFFFF"/>
          <w:lang w:val="pt-PT"/>
        </w:rPr>
        <w:t>rio de Imunometabolismo, Departamento de Gen</w:t>
      </w:r>
      <w:r>
        <w:rPr>
          <w:rFonts w:ascii="Calibri" w:hAnsi="Calibri"/>
          <w:color w:val="111111"/>
          <w:sz w:val="20"/>
          <w:szCs w:val="20"/>
          <w:shd w:val="clear" w:color="auto" w:fill="FFFFFF"/>
          <w:lang w:val="fr-FR"/>
        </w:rPr>
        <w:t>é</w:t>
      </w:r>
      <w:r>
        <w:rPr>
          <w:rFonts w:ascii="Calibri" w:hAnsi="Calibri"/>
          <w:color w:val="111111"/>
          <w:sz w:val="20"/>
          <w:szCs w:val="20"/>
          <w:shd w:val="clear" w:color="auto" w:fill="FFFFFF"/>
        </w:rPr>
        <w:t>tica, Evolu</w:t>
      </w:r>
      <w:r>
        <w:rPr>
          <w:rFonts w:ascii="Calibri" w:hAnsi="Calibri"/>
          <w:color w:val="111111"/>
          <w:sz w:val="20"/>
          <w:szCs w:val="20"/>
          <w:shd w:val="clear" w:color="auto" w:fill="FFFFFF"/>
          <w:lang w:val="pt-PT"/>
        </w:rPr>
        <w:t xml:space="preserve">ção, Microbiologia e Imunologia, Instituto de Biologia, Universidade Estadual de Campinas, Campinas, SP; </w:t>
      </w:r>
      <w:r>
        <w:rPr>
          <w:rFonts w:ascii="Calibri" w:hAnsi="Calibri"/>
          <w:color w:val="111111"/>
          <w:sz w:val="20"/>
          <w:szCs w:val="20"/>
          <w:shd w:val="clear" w:color="auto" w:fill="FFFFFF"/>
        </w:rPr>
        <w:t>⁶ Laborat</w:t>
      </w:r>
      <w:proofErr w:type="spellStart"/>
      <w:r>
        <w:rPr>
          <w:rFonts w:ascii="Calibri" w:hAnsi="Calibri"/>
          <w:color w:val="111111"/>
          <w:sz w:val="20"/>
          <w:szCs w:val="20"/>
          <w:shd w:val="clear" w:color="auto" w:fill="FFFFFF"/>
          <w:lang w:val="es-ES_tradnl"/>
        </w:rPr>
        <w:t>ó</w:t>
      </w:r>
      <w:proofErr w:type="spellEnd"/>
      <w:r>
        <w:rPr>
          <w:rFonts w:ascii="Calibri" w:hAnsi="Calibri"/>
          <w:color w:val="111111"/>
          <w:sz w:val="20"/>
          <w:szCs w:val="20"/>
          <w:shd w:val="clear" w:color="auto" w:fill="FFFFFF"/>
          <w:lang w:val="pt-PT"/>
        </w:rPr>
        <w:t>rio de Biologia do Envelhecimento, Departamento de Bioqu</w:t>
      </w:r>
      <w:r>
        <w:rPr>
          <w:rFonts w:ascii="Calibri" w:hAnsi="Calibri"/>
          <w:color w:val="111111"/>
          <w:sz w:val="20"/>
          <w:szCs w:val="20"/>
          <w:shd w:val="clear" w:color="auto" w:fill="FFFFFF"/>
        </w:rPr>
        <w:t>í</w:t>
      </w:r>
      <w:r>
        <w:rPr>
          <w:rFonts w:ascii="Calibri" w:hAnsi="Calibri"/>
          <w:color w:val="111111"/>
          <w:sz w:val="20"/>
          <w:szCs w:val="20"/>
          <w:shd w:val="clear" w:color="auto" w:fill="FFFFFF"/>
          <w:lang w:val="pt-PT"/>
        </w:rPr>
        <w:t>mica e Biologia Tecidual, Instituto de Biologia, Universidade Estadual de Campinas, Campinas, SP, Brasil.</w:t>
      </w:r>
    </w:p>
    <w:p w14:paraId="5C26A9F7" w14:textId="22D392ED" w:rsidR="002A1F7D" w:rsidRDefault="00A516D5">
      <w:pPr>
        <w:jc w:val="both"/>
        <w:rPr>
          <w:rFonts w:ascii="Calibri" w:eastAsia="Calibri" w:hAnsi="Calibri" w:cs="Calibri"/>
          <w:sz w:val="20"/>
          <w:szCs w:val="20"/>
        </w:rPr>
      </w:pPr>
      <w:r>
        <w:rPr>
          <w:rFonts w:ascii="Calibri" w:hAnsi="Calibri"/>
          <w:b/>
          <w:bCs/>
          <w:sz w:val="20"/>
          <w:szCs w:val="20"/>
        </w:rPr>
        <w:t>Introduction.</w:t>
      </w:r>
      <w:r>
        <w:rPr>
          <w:rFonts w:ascii="Calibri" w:hAnsi="Calibri"/>
          <w:sz w:val="20"/>
          <w:szCs w:val="20"/>
        </w:rPr>
        <w:t xml:space="preserve"> Myeloid-derived cells (MDCs) within the tumor microenvironment (TME) play critical roles in shaping cancer progression and treatment responses. These cells exhibit remarkable plasticity, adopting distinct phenotypic and functional states that can either support or suppress tumor growth. However, the full spectrum of MDC heterogeneity across different tumor types remains incompletely understood, limiting the development of targeted therapeutic strategies.</w:t>
      </w:r>
      <w:r>
        <w:rPr>
          <w:rFonts w:ascii="Calibri" w:eastAsia="Calibri" w:hAnsi="Calibri" w:cs="Calibri"/>
          <w:sz w:val="20"/>
          <w:szCs w:val="20"/>
        </w:rPr>
        <w:br/>
      </w:r>
      <w:r>
        <w:rPr>
          <w:rFonts w:ascii="Calibri" w:hAnsi="Calibri"/>
          <w:b/>
          <w:bCs/>
          <w:sz w:val="20"/>
          <w:szCs w:val="20"/>
        </w:rPr>
        <w:t>Aims</w:t>
      </w:r>
      <w:r>
        <w:rPr>
          <w:rFonts w:ascii="Calibri" w:hAnsi="Calibri"/>
          <w:sz w:val="20"/>
          <w:szCs w:val="20"/>
        </w:rPr>
        <w:t>. To characterize MDC subpopulations across cancers, identify those linked to prognosis, and validate findings in independent cohorts.</w:t>
      </w:r>
    </w:p>
    <w:p w14:paraId="52534411" w14:textId="77777777" w:rsidR="002A1F7D" w:rsidRDefault="00A516D5">
      <w:pPr>
        <w:jc w:val="both"/>
        <w:rPr>
          <w:rFonts w:ascii="Calibri" w:eastAsia="Calibri" w:hAnsi="Calibri" w:cs="Calibri"/>
          <w:sz w:val="20"/>
          <w:szCs w:val="20"/>
        </w:rPr>
      </w:pPr>
      <w:r>
        <w:rPr>
          <w:rFonts w:ascii="Calibri" w:hAnsi="Calibri"/>
          <w:b/>
          <w:bCs/>
          <w:sz w:val="20"/>
          <w:szCs w:val="20"/>
        </w:rPr>
        <w:t>Methods</w:t>
      </w:r>
      <w:r>
        <w:rPr>
          <w:rFonts w:ascii="Calibri" w:hAnsi="Calibri"/>
          <w:sz w:val="20"/>
          <w:szCs w:val="20"/>
        </w:rPr>
        <w:t xml:space="preserve">. We integrated </w:t>
      </w:r>
      <w:proofErr w:type="spellStart"/>
      <w:r>
        <w:rPr>
          <w:rFonts w:ascii="Calibri" w:hAnsi="Calibri"/>
          <w:sz w:val="20"/>
          <w:szCs w:val="20"/>
        </w:rPr>
        <w:t>scRNA</w:t>
      </w:r>
      <w:proofErr w:type="spellEnd"/>
      <w:r>
        <w:rPr>
          <w:rFonts w:ascii="Calibri" w:hAnsi="Calibri"/>
          <w:sz w:val="20"/>
          <w:szCs w:val="20"/>
        </w:rPr>
        <w:t>-seq data from multiple solid tumors, focusing on myeloid cells. Clustering and marker analysis defined MDC subtypes. Deconvolution of bulk RNA-seq data estimated subpopulation abundance, and survival analysis identified prognostic subsets. Findings were validated in external datasets.</w:t>
      </w:r>
    </w:p>
    <w:p w14:paraId="5F672A1F" w14:textId="77777777" w:rsidR="002A1F7D" w:rsidRDefault="00A516D5">
      <w:pPr>
        <w:jc w:val="both"/>
        <w:rPr>
          <w:rFonts w:ascii="Calibri" w:eastAsia="Calibri" w:hAnsi="Calibri" w:cs="Calibri"/>
          <w:sz w:val="20"/>
          <w:szCs w:val="20"/>
        </w:rPr>
      </w:pPr>
      <w:r>
        <w:rPr>
          <w:rFonts w:ascii="Calibri" w:hAnsi="Calibri"/>
          <w:b/>
          <w:bCs/>
          <w:sz w:val="20"/>
          <w:szCs w:val="20"/>
        </w:rPr>
        <w:t>Results.</w:t>
      </w:r>
      <w:r>
        <w:rPr>
          <w:rFonts w:ascii="Calibri" w:hAnsi="Calibri"/>
          <w:sz w:val="20"/>
          <w:szCs w:val="20"/>
        </w:rPr>
        <w:t xml:space="preserve"> Our integrative analysis identified 29 distinct MDC subpopulations across tumors, including subsets that were previously grouped together, such as TREM2+ and FOLR2+ macrophages. Several subpopulations exhibited tumor-specific expansion, suggesting context-dependent roles. We identified five MDC states with independent prognostic value, including TREM2+PD-1+ and FOLR2+PDL-2+ macrophages. Notably, TREM2 expression alone was not a reliable prognostic marker, as its association with outcome varied depending on co-expressed genes and environmental context. In ovarian and triple-negative breast cancers, high abundance of FOLR2-expressing macrophages was consistently linked to poor prognosis.</w:t>
      </w:r>
    </w:p>
    <w:p w14:paraId="328D0860" w14:textId="7528593C" w:rsidR="002A1F7D" w:rsidRDefault="00A516D5">
      <w:pPr>
        <w:jc w:val="both"/>
        <w:rPr>
          <w:rFonts w:ascii="Calibri" w:eastAsia="Calibri" w:hAnsi="Calibri" w:cs="Calibri"/>
          <w:sz w:val="20"/>
          <w:szCs w:val="20"/>
        </w:rPr>
      </w:pPr>
      <w:r>
        <w:rPr>
          <w:rFonts w:ascii="Calibri" w:hAnsi="Calibri"/>
          <w:b/>
          <w:bCs/>
          <w:sz w:val="20"/>
          <w:szCs w:val="20"/>
        </w:rPr>
        <w:t>Discussion.</w:t>
      </w:r>
      <w:r>
        <w:rPr>
          <w:rFonts w:ascii="Calibri" w:hAnsi="Calibri"/>
          <w:sz w:val="20"/>
          <w:szCs w:val="20"/>
        </w:rPr>
        <w:t xml:space="preserve"> This MDC atlas reveals tumor-specific and shared subpopulations with prognostic relevance. It emphasizes the need for detailed characterization beyond single </w:t>
      </w:r>
      <w:proofErr w:type="spellStart"/>
      <w:r>
        <w:rPr>
          <w:rFonts w:ascii="Calibri" w:hAnsi="Calibri"/>
          <w:sz w:val="20"/>
          <w:szCs w:val="20"/>
        </w:rPr>
        <w:t>markers</w:t>
      </w:r>
      <w:proofErr w:type="spellEnd"/>
      <w:r>
        <w:rPr>
          <w:rFonts w:ascii="Calibri" w:hAnsi="Calibri"/>
          <w:sz w:val="20"/>
          <w:szCs w:val="20"/>
        </w:rPr>
        <w:t xml:space="preserve"> and supports new targets for immunotherapy development.</w:t>
      </w:r>
    </w:p>
    <w:sectPr w:rsidR="002A1F7D" w:rsidSect="00A516D5">
      <w:pgSz w:w="11900" w:h="8400" w:orient="landscape"/>
      <w:pgMar w:top="284" w:right="1134" w:bottom="28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DD388" w14:textId="77777777" w:rsidR="00A516D5" w:rsidRDefault="00A516D5">
      <w:r>
        <w:separator/>
      </w:r>
    </w:p>
  </w:endnote>
  <w:endnote w:type="continuationSeparator" w:id="0">
    <w:p w14:paraId="531FA401" w14:textId="77777777" w:rsidR="00A516D5" w:rsidRDefault="00A5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219CE" w14:textId="77777777" w:rsidR="00A516D5" w:rsidRDefault="00A516D5">
      <w:r>
        <w:separator/>
      </w:r>
    </w:p>
  </w:footnote>
  <w:footnote w:type="continuationSeparator" w:id="0">
    <w:p w14:paraId="71F06220" w14:textId="77777777" w:rsidR="00A516D5" w:rsidRDefault="00A51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F7D"/>
    <w:rsid w:val="002A1F7D"/>
    <w:rsid w:val="005B5FA6"/>
    <w:rsid w:val="008012C6"/>
    <w:rsid w:val="00A516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DB6C"/>
  <w15:docId w15:val="{B93655D1-D0C9-4A3B-ACF4-1DA56112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adro">
    <w:name w:val="Padrão"/>
    <w:pPr>
      <w:spacing w:before="160" w:line="288" w:lineRule="auto"/>
    </w:pPr>
    <w:rPr>
      <w:rFonts w:ascii="Helvetica Neue" w:hAnsi="Helvetica Neue" w:cs="Arial Unicode MS"/>
      <w:color w:val="000000"/>
      <w:sz w:val="24"/>
      <w:szCs w:val="24"/>
      <w:lang w:val="it-IT"/>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outline w:val="0"/>
      <w:color w:val="0563C1"/>
      <w:sz w:val="20"/>
      <w:szCs w:val="20"/>
      <w:u w:val="single" w:color="0563C1"/>
    </w:rPr>
  </w:style>
  <w:style w:type="paragraph" w:styleId="Header">
    <w:name w:val="header"/>
    <w:basedOn w:val="Normal"/>
    <w:link w:val="HeaderChar"/>
    <w:uiPriority w:val="99"/>
    <w:unhideWhenUsed/>
    <w:rsid w:val="00A516D5"/>
    <w:pPr>
      <w:tabs>
        <w:tab w:val="center" w:pos="4513"/>
        <w:tab w:val="right" w:pos="9026"/>
      </w:tabs>
    </w:pPr>
  </w:style>
  <w:style w:type="character" w:customStyle="1" w:styleId="HeaderChar">
    <w:name w:val="Header Char"/>
    <w:basedOn w:val="DefaultParagraphFont"/>
    <w:link w:val="Header"/>
    <w:uiPriority w:val="99"/>
    <w:rsid w:val="00A516D5"/>
    <w:rPr>
      <w:rFonts w:cs="Arial Unicode MS"/>
      <w:color w:val="000000"/>
      <w:sz w:val="24"/>
      <w:szCs w:val="24"/>
      <w:u w:color="000000"/>
      <w:lang w:val="en-US"/>
      <w14:textOutline w14:w="0" w14:cap="flat" w14:cmpd="sng" w14:algn="ctr">
        <w14:noFill/>
        <w14:prstDash w14:val="solid"/>
        <w14:bevel/>
      </w14:textOutline>
    </w:rPr>
  </w:style>
  <w:style w:type="paragraph" w:styleId="Footer">
    <w:name w:val="footer"/>
    <w:basedOn w:val="Normal"/>
    <w:link w:val="FooterChar"/>
    <w:uiPriority w:val="99"/>
    <w:unhideWhenUsed/>
    <w:rsid w:val="00A516D5"/>
    <w:pPr>
      <w:tabs>
        <w:tab w:val="center" w:pos="4513"/>
        <w:tab w:val="right" w:pos="9026"/>
      </w:tabs>
    </w:pPr>
  </w:style>
  <w:style w:type="character" w:customStyle="1" w:styleId="FooterChar">
    <w:name w:val="Footer Char"/>
    <w:basedOn w:val="DefaultParagraphFont"/>
    <w:link w:val="Footer"/>
    <w:uiPriority w:val="99"/>
    <w:rsid w:val="00A516D5"/>
    <w:rPr>
      <w:rFonts w:cs="Arial Unicode MS"/>
      <w:color w:val="000000"/>
      <w:sz w:val="24"/>
      <w:szCs w:val="24"/>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16E9D-04FF-4065-A316-FDEEBF95C886}">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782DB4B5-6D98-4DC1-8AA1-A987CFFDC30C}">
  <ds:schemaRefs>
    <ds:schemaRef ds:uri="http://schemas.microsoft.com/sharepoint/v3/contenttype/forms"/>
  </ds:schemaRefs>
</ds:datastoreItem>
</file>

<file path=customXml/itemProps3.xml><?xml version="1.0" encoding="utf-8"?>
<ds:datastoreItem xmlns:ds="http://schemas.openxmlformats.org/officeDocument/2006/customXml" ds:itemID="{94012A7D-9410-4B53-A6A7-30843F741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Lawless</dc:creator>
  <cp:lastModifiedBy>Barbara Lawless</cp:lastModifiedBy>
  <cp:revision>3</cp:revision>
  <dcterms:created xsi:type="dcterms:W3CDTF">2025-07-02T06:03:00Z</dcterms:created>
  <dcterms:modified xsi:type="dcterms:W3CDTF">2025-07-03T04:41:00Z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ies>
</file>