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A5AD" w14:textId="2D09167F" w:rsidR="00FD68F1" w:rsidRPr="002A4454" w:rsidRDefault="00854E76" w:rsidP="00674ADF">
      <w:pPr>
        <w:rPr>
          <w:rFonts w:ascii="Arial" w:hAnsi="Arial" w:cs="Arial"/>
          <w:b/>
          <w:bCs/>
          <w:sz w:val="28"/>
          <w:szCs w:val="32"/>
        </w:rPr>
      </w:pPr>
      <w:r w:rsidRPr="00854E76">
        <w:rPr>
          <w:rFonts w:ascii="Arial" w:hAnsi="Arial" w:cs="Arial"/>
          <w:b/>
          <w:bCs/>
          <w:sz w:val="28"/>
          <w:szCs w:val="32"/>
          <w:lang w:eastAsia="ko-KR"/>
        </w:rPr>
        <w:t xml:space="preserve">pH-Modified Self-Nanoemulsifying Drug Delivery System (SNEDDS) </w:t>
      </w:r>
      <w:r w:rsidR="00674ADF">
        <w:rPr>
          <w:rFonts w:ascii="Arial" w:hAnsi="Arial" w:cs="Arial" w:hint="eastAsia"/>
          <w:b/>
          <w:bCs/>
          <w:sz w:val="28"/>
          <w:szCs w:val="32"/>
          <w:lang w:eastAsia="ko-KR"/>
        </w:rPr>
        <w:t xml:space="preserve">of </w:t>
      </w:r>
      <w:proofErr w:type="spellStart"/>
      <w:r w:rsidR="00674ADF">
        <w:rPr>
          <w:rFonts w:ascii="Arial" w:hAnsi="Arial" w:cs="Arial" w:hint="eastAsia"/>
          <w:b/>
          <w:bCs/>
          <w:sz w:val="28"/>
          <w:szCs w:val="32"/>
          <w:lang w:eastAsia="ko-KR"/>
        </w:rPr>
        <w:t>Finerenone</w:t>
      </w:r>
      <w:proofErr w:type="spellEnd"/>
      <w:r w:rsidR="00674ADF">
        <w:rPr>
          <w:rFonts w:ascii="Arial" w:hAnsi="Arial" w:cs="Arial" w:hint="eastAsia"/>
          <w:b/>
          <w:bCs/>
          <w:sz w:val="28"/>
          <w:szCs w:val="32"/>
          <w:lang w:eastAsia="ko-KR"/>
        </w:rPr>
        <w:t xml:space="preserve"> for </w:t>
      </w:r>
      <w:r w:rsidRPr="00854E76">
        <w:rPr>
          <w:rFonts w:ascii="Arial" w:hAnsi="Arial" w:cs="Arial"/>
          <w:b/>
          <w:bCs/>
          <w:sz w:val="28"/>
          <w:szCs w:val="32"/>
          <w:lang w:eastAsia="ko-KR"/>
        </w:rPr>
        <w:t>Enhanced Solubility</w:t>
      </w:r>
      <w:r w:rsidR="00674ADF">
        <w:rPr>
          <w:rFonts w:ascii="Arial" w:hAnsi="Arial" w:cs="Arial" w:hint="eastAsia"/>
          <w:b/>
          <w:bCs/>
          <w:sz w:val="28"/>
          <w:szCs w:val="32"/>
          <w:lang w:eastAsia="ko-KR"/>
        </w:rPr>
        <w:t xml:space="preserve"> </w:t>
      </w:r>
      <w:r w:rsidR="00ED617D">
        <w:rPr>
          <w:rFonts w:ascii="Arial" w:hAnsi="Arial" w:cs="Arial"/>
          <w:b/>
          <w:bCs/>
          <w:sz w:val="28"/>
          <w:szCs w:val="32"/>
          <w:lang w:eastAsia="ko-KR"/>
        </w:rPr>
        <w:t xml:space="preserve">and </w:t>
      </w:r>
      <w:r w:rsidR="00ED617D" w:rsidRPr="00854E76">
        <w:rPr>
          <w:rFonts w:ascii="Arial" w:hAnsi="Arial" w:cs="Arial"/>
          <w:b/>
          <w:bCs/>
          <w:sz w:val="28"/>
          <w:szCs w:val="32"/>
          <w:lang w:eastAsia="ko-KR"/>
        </w:rPr>
        <w:t>Dissolution</w:t>
      </w:r>
    </w:p>
    <w:p w14:paraId="79141BD9" w14:textId="28E155C9" w:rsidR="00C315D2" w:rsidRPr="00C315D2" w:rsidRDefault="00FD68F1" w:rsidP="00C315D2">
      <w:pPr>
        <w:spacing w:after="0" w:line="240" w:lineRule="auto"/>
        <w:rPr>
          <w:rFonts w:ascii="Arial" w:eastAsia="Calibri" w:hAnsi="Arial" w:cs="Calibri"/>
          <w:bCs/>
          <w:kern w:val="0"/>
          <w:sz w:val="20"/>
          <w:szCs w:val="20"/>
          <w14:ligatures w14:val="none"/>
        </w:rPr>
      </w:pPr>
      <w:r w:rsidRPr="00FD68F1">
        <w:rPr>
          <w:rFonts w:ascii="Arial" w:eastAsia="Calibri" w:hAnsi="Arial" w:cs="Calibri"/>
          <w:b/>
          <w:kern w:val="0"/>
          <w:sz w:val="20"/>
          <w:szCs w:val="20"/>
          <w:u w:val="single"/>
          <w14:ligatures w14:val="none"/>
        </w:rPr>
        <w:t>Jin Woo Park</w:t>
      </w:r>
      <w:r w:rsidR="00C315D2" w:rsidRPr="00C315D2">
        <w:rPr>
          <w:rFonts w:ascii="Arial" w:eastAsia="Calibri" w:hAnsi="Arial" w:cs="Calibri"/>
          <w:bCs/>
          <w:kern w:val="0"/>
          <w:sz w:val="20"/>
          <w:szCs w:val="20"/>
          <w14:ligatures w14:val="none"/>
        </w:rPr>
        <w:t xml:space="preserve">, </w:t>
      </w:r>
      <w:r w:rsidRPr="00FD68F1">
        <w:rPr>
          <w:rFonts w:ascii="Arial" w:eastAsia="Calibri" w:hAnsi="Arial" w:cs="Calibri"/>
          <w:bCs/>
          <w:kern w:val="0"/>
          <w:sz w:val="20"/>
          <w:szCs w:val="20"/>
          <w14:ligatures w14:val="none"/>
        </w:rPr>
        <w:t>Kwan Hyung Cho</w:t>
      </w:r>
      <w:r w:rsidR="00C315D2" w:rsidRPr="00C315D2">
        <w:rPr>
          <w:rFonts w:ascii="Arial" w:eastAsia="Calibri" w:hAnsi="Arial" w:cs="Calibri"/>
          <w:bCs/>
          <w:kern w:val="0"/>
          <w:sz w:val="20"/>
          <w:szCs w:val="20"/>
          <w14:ligatures w14:val="none"/>
        </w:rPr>
        <w:t xml:space="preserve">. </w:t>
      </w:r>
    </w:p>
    <w:p w14:paraId="0B6944F7" w14:textId="77777777" w:rsidR="00ED617D" w:rsidRPr="00ED617D" w:rsidRDefault="00ED617D" w:rsidP="00ED617D">
      <w:pPr>
        <w:spacing w:after="0" w:line="240" w:lineRule="auto"/>
        <w:rPr>
          <w:rFonts w:ascii="Arial" w:eastAsia="Calibri" w:hAnsi="Arial" w:cs="Arial"/>
          <w:bCs/>
          <w:kern w:val="0"/>
          <w:sz w:val="20"/>
          <w:szCs w:val="20"/>
          <w14:ligatures w14:val="none"/>
        </w:rPr>
      </w:pPr>
      <w:r w:rsidRPr="00ED617D">
        <w:rPr>
          <w:rFonts w:ascii="Arial" w:eastAsia="Calibri" w:hAnsi="Arial" w:cs="Arial"/>
          <w:bCs/>
          <w:kern w:val="0"/>
          <w:sz w:val="20"/>
          <w:szCs w:val="20"/>
          <w14:ligatures w14:val="none"/>
        </w:rPr>
        <w:t xml:space="preserve">Department of Pharmacy, Inje University, </w:t>
      </w:r>
      <w:proofErr w:type="spellStart"/>
      <w:r w:rsidRPr="00ED617D">
        <w:rPr>
          <w:rFonts w:ascii="Arial" w:eastAsia="Calibri" w:hAnsi="Arial" w:cs="Arial"/>
          <w:bCs/>
          <w:kern w:val="0"/>
          <w:sz w:val="20"/>
          <w:szCs w:val="20"/>
          <w14:ligatures w14:val="none"/>
        </w:rPr>
        <w:t>Gimhae</w:t>
      </w:r>
      <w:proofErr w:type="spellEnd"/>
      <w:r w:rsidRPr="00ED617D">
        <w:rPr>
          <w:rFonts w:ascii="Arial" w:eastAsia="Calibri" w:hAnsi="Arial" w:cs="Arial"/>
          <w:bCs/>
          <w:kern w:val="0"/>
          <w:sz w:val="20"/>
          <w:szCs w:val="20"/>
          <w14:ligatures w14:val="none"/>
        </w:rPr>
        <w:t xml:space="preserve">, </w:t>
      </w:r>
      <w:proofErr w:type="spellStart"/>
      <w:r w:rsidRPr="00ED617D">
        <w:rPr>
          <w:rFonts w:ascii="Arial" w:eastAsia="Calibri" w:hAnsi="Arial" w:cs="Arial"/>
          <w:bCs/>
          <w:kern w:val="0"/>
          <w:sz w:val="20"/>
          <w:szCs w:val="20"/>
          <w14:ligatures w14:val="none"/>
        </w:rPr>
        <w:t>Gyeongsangnam</w:t>
      </w:r>
      <w:proofErr w:type="spellEnd"/>
      <w:r w:rsidRPr="00ED617D">
        <w:rPr>
          <w:rFonts w:ascii="Arial" w:eastAsia="Calibri" w:hAnsi="Arial" w:cs="Arial"/>
          <w:bCs/>
          <w:kern w:val="0"/>
          <w:sz w:val="20"/>
          <w:szCs w:val="20"/>
          <w14:ligatures w14:val="none"/>
        </w:rPr>
        <w:t>-do, Republic of Korea.</w:t>
      </w:r>
    </w:p>
    <w:p w14:paraId="2DD37039" w14:textId="06D2AEF6" w:rsidR="00C315D2" w:rsidRPr="00ED617D" w:rsidRDefault="00C315D2" w:rsidP="00C315D2">
      <w:pPr>
        <w:spacing w:after="0" w:line="240" w:lineRule="auto"/>
        <w:rPr>
          <w:rFonts w:ascii="Arial" w:eastAsia="Calibri" w:hAnsi="Arial" w:cs="Calibri"/>
          <w:bCs/>
          <w:kern w:val="0"/>
          <w:sz w:val="20"/>
          <w:szCs w:val="20"/>
          <w14:ligatures w14:val="none"/>
        </w:rPr>
      </w:pPr>
    </w:p>
    <w:p w14:paraId="2385039D" w14:textId="26B85B96" w:rsidR="00C315D2" w:rsidRPr="002D40D7" w:rsidRDefault="00B8473A" w:rsidP="00C315D2">
      <w:pPr>
        <w:spacing w:after="0" w:line="240" w:lineRule="auto"/>
        <w:jc w:val="both"/>
        <w:rPr>
          <w:rFonts w:ascii="Arial" w:eastAsia="Calibri" w:hAnsi="Arial" w:cs="Calibri"/>
          <w:bCs/>
          <w:color w:val="000000" w:themeColor="text1"/>
          <w:kern w:val="0"/>
          <w:sz w:val="20"/>
          <w:szCs w:val="20"/>
          <w:lang w:val="en-US"/>
          <w14:ligatures w14:val="none"/>
        </w:rPr>
      </w:pPr>
      <w:r w:rsidRPr="002D40D7">
        <w:rPr>
          <w:rFonts w:ascii="Arial" w:eastAsia="Calibri" w:hAnsi="Arial" w:cs="Calibri"/>
          <w:b/>
          <w:color w:val="000000" w:themeColor="text1"/>
          <w:kern w:val="0"/>
          <w:sz w:val="20"/>
          <w:szCs w:val="20"/>
          <w14:ligatures w14:val="none"/>
        </w:rPr>
        <w:t>Background and aims</w:t>
      </w:r>
      <w:r w:rsidR="00C315D2" w:rsidRPr="002D40D7">
        <w:rPr>
          <w:rFonts w:ascii="Arial" w:eastAsia="Calibri" w:hAnsi="Arial" w:cs="Calibri"/>
          <w:b/>
          <w:color w:val="000000" w:themeColor="text1"/>
          <w:kern w:val="0"/>
          <w:sz w:val="20"/>
          <w:szCs w:val="20"/>
          <w14:ligatures w14:val="none"/>
        </w:rPr>
        <w:t>.</w:t>
      </w:r>
      <w:r w:rsidR="00C315D2" w:rsidRPr="002D40D7">
        <w:rPr>
          <w:rFonts w:ascii="Arial" w:eastAsia="Calibri" w:hAnsi="Arial" w:cs="Calibri"/>
          <w:bCs/>
          <w:color w:val="000000" w:themeColor="text1"/>
          <w:kern w:val="0"/>
          <w:sz w:val="20"/>
          <w:szCs w:val="20"/>
          <w14:ligatures w14:val="none"/>
        </w:rPr>
        <w:t xml:space="preserve"> </w:t>
      </w:r>
      <w:proofErr w:type="spellStart"/>
      <w:r w:rsidR="002D40D7" w:rsidRPr="002D40D7">
        <w:rPr>
          <w:rFonts w:ascii="Arial" w:eastAsia="Calibri" w:hAnsi="Arial" w:cs="Calibri"/>
          <w:bCs/>
          <w:color w:val="000000" w:themeColor="text1"/>
          <w:kern w:val="0"/>
          <w:sz w:val="20"/>
          <w:szCs w:val="20"/>
          <w14:ligatures w14:val="none"/>
        </w:rPr>
        <w:t>Finerenone</w:t>
      </w:r>
      <w:proofErr w:type="spellEnd"/>
      <w:r w:rsidR="002D40D7" w:rsidRPr="002D40D7">
        <w:rPr>
          <w:rFonts w:ascii="Arial" w:eastAsia="Calibri" w:hAnsi="Arial" w:cs="Calibri"/>
          <w:bCs/>
          <w:color w:val="000000" w:themeColor="text1"/>
          <w:kern w:val="0"/>
          <w:sz w:val="20"/>
          <w:szCs w:val="20"/>
          <w14:ligatures w14:val="none"/>
        </w:rPr>
        <w:t xml:space="preserve"> (FIN) is a nonsteroidal mineralocorticoid receptor antagonist indicated for patients with chronic kidney disease (CKD) and type 2 diabetes (T2D). Despite its clinical efficacy, FIN belongs to the Biopharmaceutics Classification System (BCS) Class II and exhibits poor aqueous solubility and pH-dependent dissolution. These characteristics limit its oral bioavailability and pose challenges for consistent therapeutic exposure. This study aimed to develop a pH-modified self-nanoemulsifying drug delivery system (SNEDDS) to enhance the solubility</w:t>
      </w:r>
      <w:r w:rsidR="00195650">
        <w:rPr>
          <w:rFonts w:ascii="Arial" w:eastAsia="맑은 고딕" w:hAnsi="Arial" w:cs="Calibri" w:hint="eastAsia"/>
          <w:bCs/>
          <w:color w:val="000000" w:themeColor="text1"/>
          <w:kern w:val="0"/>
          <w:sz w:val="20"/>
          <w:szCs w:val="20"/>
          <w:lang w:eastAsia="ko-KR"/>
          <w14:ligatures w14:val="none"/>
        </w:rPr>
        <w:t xml:space="preserve"> and</w:t>
      </w:r>
      <w:r w:rsidR="002D40D7" w:rsidRPr="002D40D7">
        <w:rPr>
          <w:rFonts w:ascii="Arial" w:eastAsia="Calibri" w:hAnsi="Arial" w:cs="Calibri"/>
          <w:bCs/>
          <w:color w:val="000000" w:themeColor="text1"/>
          <w:kern w:val="0"/>
          <w:sz w:val="20"/>
          <w:szCs w:val="20"/>
          <w14:ligatures w14:val="none"/>
        </w:rPr>
        <w:t xml:space="preserve"> dissolution of FIN.</w:t>
      </w:r>
    </w:p>
    <w:p w14:paraId="15D93483" w14:textId="77777777" w:rsidR="00C315D2" w:rsidRPr="002D40D7" w:rsidRDefault="00C315D2" w:rsidP="00C315D2">
      <w:pPr>
        <w:spacing w:after="0" w:line="240" w:lineRule="auto"/>
        <w:jc w:val="both"/>
        <w:rPr>
          <w:rFonts w:ascii="Arial" w:eastAsia="Calibri" w:hAnsi="Arial" w:cs="Calibri"/>
          <w:b/>
          <w:color w:val="000000" w:themeColor="text1"/>
          <w:kern w:val="0"/>
          <w:sz w:val="20"/>
          <w:szCs w:val="20"/>
          <w14:ligatures w14:val="none"/>
        </w:rPr>
      </w:pPr>
    </w:p>
    <w:p w14:paraId="48C0479A" w14:textId="2ABBF1F4" w:rsidR="00C315D2" w:rsidRPr="002D40D7" w:rsidRDefault="00C315D2" w:rsidP="00C315D2">
      <w:pPr>
        <w:spacing w:after="0" w:line="240" w:lineRule="auto"/>
        <w:jc w:val="both"/>
        <w:rPr>
          <w:rFonts w:ascii="Arial" w:eastAsia="Calibri" w:hAnsi="Arial" w:cs="Calibri"/>
          <w:bCs/>
          <w:color w:val="000000" w:themeColor="text1"/>
          <w:kern w:val="0"/>
          <w:sz w:val="20"/>
          <w:szCs w:val="20"/>
          <w14:ligatures w14:val="none"/>
        </w:rPr>
      </w:pPr>
      <w:r w:rsidRPr="002D40D7">
        <w:rPr>
          <w:rFonts w:ascii="Arial" w:eastAsia="Calibri" w:hAnsi="Arial" w:cs="Calibri"/>
          <w:b/>
          <w:color w:val="000000" w:themeColor="text1"/>
          <w:kern w:val="0"/>
          <w:sz w:val="20"/>
          <w:szCs w:val="20"/>
          <w14:ligatures w14:val="none"/>
        </w:rPr>
        <w:t>Methods.</w:t>
      </w:r>
      <w:r w:rsidRPr="002D40D7">
        <w:rPr>
          <w:rFonts w:ascii="Arial" w:eastAsia="Calibri" w:hAnsi="Arial" w:cs="Calibri"/>
          <w:bCs/>
          <w:color w:val="000000" w:themeColor="text1"/>
          <w:kern w:val="0"/>
          <w:sz w:val="20"/>
          <w:szCs w:val="20"/>
          <w14:ligatures w14:val="none"/>
        </w:rPr>
        <w:t xml:space="preserve"> </w:t>
      </w:r>
      <w:r w:rsidR="00195650">
        <w:rPr>
          <w:rFonts w:ascii="Arial" w:eastAsia="맑은 고딕" w:hAnsi="Arial" w:cs="Calibri" w:hint="eastAsia"/>
          <w:bCs/>
          <w:color w:val="000000" w:themeColor="text1"/>
          <w:kern w:val="0"/>
          <w:sz w:val="20"/>
          <w:szCs w:val="20"/>
          <w:lang w:eastAsia="ko-KR"/>
          <w14:ligatures w14:val="none"/>
        </w:rPr>
        <w:t>O</w:t>
      </w:r>
      <w:r w:rsidR="002D40D7" w:rsidRPr="002D40D7">
        <w:rPr>
          <w:rFonts w:ascii="Arial" w:eastAsia="Calibri" w:hAnsi="Arial" w:cs="Calibri"/>
          <w:bCs/>
          <w:color w:val="000000" w:themeColor="text1"/>
          <w:kern w:val="0"/>
          <w:sz w:val="20"/>
          <w:szCs w:val="20"/>
          <w14:ligatures w14:val="none"/>
        </w:rPr>
        <w:t xml:space="preserve">ils and surfactants were screened based on FIN solubility and stability. Citric acid (CA) was evaluated as a pH-modifying agent to enhance solubility in </w:t>
      </w:r>
      <w:r w:rsidR="00195650">
        <w:rPr>
          <w:rFonts w:ascii="Arial" w:eastAsia="맑은 고딕" w:hAnsi="Arial" w:cs="Calibri" w:hint="eastAsia"/>
          <w:bCs/>
          <w:color w:val="000000" w:themeColor="text1"/>
          <w:kern w:val="0"/>
          <w:sz w:val="20"/>
          <w:szCs w:val="20"/>
          <w:lang w:eastAsia="ko-KR"/>
          <w14:ligatures w14:val="none"/>
        </w:rPr>
        <w:t>surfactants</w:t>
      </w:r>
      <w:r w:rsidR="002D40D7" w:rsidRPr="002D40D7">
        <w:rPr>
          <w:rFonts w:ascii="Arial" w:eastAsia="Calibri" w:hAnsi="Arial" w:cs="Calibri"/>
          <w:bCs/>
          <w:color w:val="000000" w:themeColor="text1"/>
          <w:kern w:val="0"/>
          <w:sz w:val="20"/>
          <w:szCs w:val="20"/>
          <w14:ligatures w14:val="none"/>
        </w:rPr>
        <w:t>. SNEDDS formulations with and without CA were prepared and evaluated for particle size, drug loading, encapsulation efficiency, physical stability (8 weeks), and differential scanning calorimetry (DSC) properties. In vitro dissolution studies were performed in pH 1.2, pH 4.0, pH 6.8, and water to simulate gastrointestinal conditions.</w:t>
      </w:r>
    </w:p>
    <w:p w14:paraId="1387B9C3" w14:textId="77777777" w:rsidR="00C315D2" w:rsidRPr="002D40D7" w:rsidRDefault="00C315D2" w:rsidP="00C315D2">
      <w:pPr>
        <w:spacing w:after="0" w:line="240" w:lineRule="auto"/>
        <w:jc w:val="both"/>
        <w:rPr>
          <w:rFonts w:ascii="Calibri" w:eastAsia="Calibri" w:hAnsi="Calibri" w:cs="Times New Roman"/>
          <w:b/>
          <w:bCs/>
          <w:color w:val="000000" w:themeColor="text1"/>
          <w:kern w:val="0"/>
          <w:lang w:val="en-GB"/>
          <w14:ligatures w14:val="none"/>
        </w:rPr>
      </w:pPr>
    </w:p>
    <w:p w14:paraId="58EE2702" w14:textId="69ABA798" w:rsidR="00C315D2" w:rsidRPr="00FD68F1" w:rsidRDefault="00795378" w:rsidP="2021B9E9">
      <w:pPr>
        <w:spacing w:after="0" w:line="240" w:lineRule="auto"/>
        <w:jc w:val="both"/>
        <w:rPr>
          <w:rFonts w:ascii="Arial" w:eastAsia="Calibri" w:hAnsi="Arial" w:cs="Calibri"/>
          <w:color w:val="FF0000"/>
          <w:kern w:val="0"/>
          <w:sz w:val="20"/>
          <w:szCs w:val="20"/>
          <w:lang w:val="en-US"/>
          <w14:ligatures w14:val="none"/>
        </w:rPr>
      </w:pPr>
      <w:r w:rsidRPr="002D40D7">
        <w:rPr>
          <w:rFonts w:ascii="Arial" w:eastAsia="Calibri" w:hAnsi="Arial" w:cs="Calibri"/>
          <w:b/>
          <w:bCs/>
          <w:color w:val="000000" w:themeColor="text1"/>
          <w:kern w:val="0"/>
          <w:sz w:val="20"/>
          <w:szCs w:val="20"/>
          <w14:ligatures w14:val="none"/>
        </w:rPr>
        <w:t>Results.</w:t>
      </w:r>
      <w:r w:rsidR="00C315D2" w:rsidRPr="002D40D7">
        <w:rPr>
          <w:rFonts w:ascii="Calibri" w:eastAsia="Calibri" w:hAnsi="Calibri" w:cs="Times New Roman"/>
          <w:color w:val="000000" w:themeColor="text1"/>
          <w:kern w:val="0"/>
          <w:lang w:val="en-GB"/>
          <w14:ligatures w14:val="none"/>
        </w:rPr>
        <w:t xml:space="preserve"> </w:t>
      </w:r>
      <w:r w:rsidR="002D40D7" w:rsidRPr="002D40D7">
        <w:rPr>
          <w:rFonts w:ascii="Arial" w:eastAsia="Calibri" w:hAnsi="Arial" w:cs="Calibri"/>
          <w:color w:val="000000" w:themeColor="text1"/>
          <w:kern w:val="0"/>
          <w:sz w:val="20"/>
          <w:szCs w:val="20"/>
          <w:lang w:val="en-US"/>
          <w14:ligatures w14:val="none"/>
        </w:rPr>
        <w:t>Citric acid significantly increased FIN solubility in surfactants (6.17-fold). The optimized SNEDDS formulation (TPGS/</w:t>
      </w:r>
      <w:proofErr w:type="spellStart"/>
      <w:r w:rsidR="002D40D7" w:rsidRPr="002D40D7">
        <w:rPr>
          <w:rFonts w:ascii="Arial" w:eastAsia="Calibri" w:hAnsi="Arial" w:cs="Calibri"/>
          <w:color w:val="000000" w:themeColor="text1"/>
          <w:kern w:val="0"/>
          <w:sz w:val="20"/>
          <w:szCs w:val="20"/>
          <w:lang w:val="en-US"/>
          <w14:ligatures w14:val="none"/>
        </w:rPr>
        <w:t>Capmul</w:t>
      </w:r>
      <w:proofErr w:type="spellEnd"/>
      <w:r w:rsidR="002D40D7" w:rsidRPr="002D40D7">
        <w:rPr>
          <w:rFonts w:ascii="Arial" w:eastAsia="Calibri" w:hAnsi="Arial" w:cs="Calibri"/>
          <w:color w:val="000000" w:themeColor="text1"/>
          <w:kern w:val="0"/>
          <w:sz w:val="20"/>
          <w:szCs w:val="20"/>
          <w:lang w:val="en-US"/>
          <w14:ligatures w14:val="none"/>
        </w:rPr>
        <w:t xml:space="preserve"> MCM C10/CA) achieved a drug loading of approximately 7</w:t>
      </w:r>
      <w:r w:rsidR="00994257">
        <w:rPr>
          <w:rFonts w:ascii="Arial" w:eastAsia="맑은 고딕" w:hAnsi="Arial" w:cs="Calibri" w:hint="eastAsia"/>
          <w:color w:val="000000" w:themeColor="text1"/>
          <w:kern w:val="0"/>
          <w:sz w:val="20"/>
          <w:szCs w:val="20"/>
          <w:lang w:val="en-US" w:eastAsia="ko-KR"/>
          <w14:ligatures w14:val="none"/>
        </w:rPr>
        <w:t xml:space="preserve"> </w:t>
      </w:r>
      <w:r w:rsidR="002D40D7" w:rsidRPr="002D40D7">
        <w:rPr>
          <w:rFonts w:ascii="Arial" w:eastAsia="Calibri" w:hAnsi="Arial" w:cs="Calibri"/>
          <w:color w:val="000000" w:themeColor="text1"/>
          <w:kern w:val="0"/>
          <w:sz w:val="20"/>
          <w:szCs w:val="20"/>
          <w:lang w:val="en-US"/>
          <w14:ligatures w14:val="none"/>
        </w:rPr>
        <w:t>%, with a mean droplet size below 50 nm. Stability studies confirmed &gt;95</w:t>
      </w:r>
      <w:r w:rsidR="00994257">
        <w:rPr>
          <w:rFonts w:ascii="Arial" w:eastAsia="맑은 고딕" w:hAnsi="Arial" w:cs="Calibri" w:hint="eastAsia"/>
          <w:color w:val="000000" w:themeColor="text1"/>
          <w:kern w:val="0"/>
          <w:sz w:val="20"/>
          <w:szCs w:val="20"/>
          <w:lang w:val="en-US" w:eastAsia="ko-KR"/>
          <w14:ligatures w14:val="none"/>
        </w:rPr>
        <w:t xml:space="preserve"> </w:t>
      </w:r>
      <w:r w:rsidR="002D40D7" w:rsidRPr="002D40D7">
        <w:rPr>
          <w:rFonts w:ascii="Arial" w:eastAsia="Calibri" w:hAnsi="Arial" w:cs="Calibri"/>
          <w:color w:val="000000" w:themeColor="text1"/>
          <w:kern w:val="0"/>
          <w:sz w:val="20"/>
          <w:szCs w:val="20"/>
          <w:lang w:val="en-US"/>
          <w14:ligatures w14:val="none"/>
        </w:rPr>
        <w:t xml:space="preserve">% FIN retention after 8 weeks at room temperature. </w:t>
      </w:r>
      <w:r w:rsidR="00994257" w:rsidRPr="00994257">
        <w:rPr>
          <w:rFonts w:ascii="Arial" w:eastAsia="Calibri" w:hAnsi="Arial" w:cs="Calibri"/>
          <w:color w:val="000000" w:themeColor="text1"/>
          <w:kern w:val="0"/>
          <w:sz w:val="20"/>
          <w:szCs w:val="20"/>
          <w:lang w:val="en-US"/>
          <w14:ligatures w14:val="none"/>
        </w:rPr>
        <w:t xml:space="preserve">In vitro dissolution tests showed &gt;90 % dissolution rate within 30 min across all pH media. </w:t>
      </w:r>
      <w:r w:rsidR="002D40D7" w:rsidRPr="002D40D7">
        <w:rPr>
          <w:rFonts w:ascii="Arial" w:eastAsia="Calibri" w:hAnsi="Arial" w:cs="Calibri"/>
          <w:color w:val="000000" w:themeColor="text1"/>
          <w:kern w:val="0"/>
          <w:sz w:val="20"/>
          <w:szCs w:val="20"/>
          <w:lang w:val="en-US"/>
          <w14:ligatures w14:val="none"/>
        </w:rPr>
        <w:t>DSC confirmed that the CA-containing SNEDDS remained in a liquid state, contributing to faster dissolution compared to the solid-state formulation without CA.</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65E846CD" w14:textId="7BE3F10A"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C651AB" w:rsidRPr="00C651AB">
        <w:rPr>
          <w:rFonts w:ascii="Arial" w:eastAsia="Calibri" w:hAnsi="Arial" w:cs="Calibri"/>
          <w:bCs/>
          <w:kern w:val="0"/>
          <w:sz w:val="20"/>
          <w:szCs w:val="20"/>
          <w:lang w:val="en-US"/>
          <w14:ligatures w14:val="none"/>
        </w:rPr>
        <w:t>The SNEDDS incorporating pH modification provides a promising oral administration route to enhance the solubility and dissolution of drugs that are poorly water-soluble and exhibit pH-dependent solubility, such as FIN.</w:t>
      </w:r>
    </w:p>
    <w:p w14:paraId="1AF10CAD" w14:textId="77777777" w:rsidR="00C315D2" w:rsidRDefault="00C315D2" w:rsidP="00C315D2">
      <w:pPr>
        <w:spacing w:after="0" w:line="240" w:lineRule="auto"/>
        <w:jc w:val="both"/>
        <w:rPr>
          <w:rFonts w:ascii="Arial" w:eastAsia="맑은 고딕" w:hAnsi="Arial" w:cs="Calibri"/>
          <w:b/>
          <w:kern w:val="0"/>
          <w:sz w:val="20"/>
          <w:szCs w:val="20"/>
          <w:lang w:eastAsia="ko-KR"/>
          <w14:ligatures w14:val="none"/>
        </w:rPr>
      </w:pPr>
    </w:p>
    <w:p w14:paraId="02998E15" w14:textId="77777777" w:rsidR="00B55152" w:rsidRPr="00305131" w:rsidRDefault="00B55152" w:rsidP="00B55152">
      <w:pPr>
        <w:spacing w:after="0" w:line="240" w:lineRule="auto"/>
        <w:jc w:val="both"/>
        <w:rPr>
          <w:rFonts w:ascii="Arial" w:eastAsia="Calibri" w:hAnsi="Arial" w:cs="Calibri"/>
          <w:bCs/>
          <w:kern w:val="0"/>
          <w:sz w:val="20"/>
          <w:szCs w:val="20"/>
          <w:lang w:val="en-US"/>
          <w14:ligatures w14:val="none"/>
        </w:rPr>
      </w:pPr>
      <w:r w:rsidRPr="00305131">
        <w:rPr>
          <w:rFonts w:ascii="Arial" w:eastAsia="Calibri" w:hAnsi="Arial" w:cs="Calibri"/>
          <w:b/>
          <w:kern w:val="0"/>
          <w:sz w:val="20"/>
          <w:szCs w:val="20"/>
          <w14:ligatures w14:val="none"/>
        </w:rPr>
        <w:t>Acknowledgements</w:t>
      </w:r>
      <w:r>
        <w:rPr>
          <w:rFonts w:ascii="맑은 고딕" w:eastAsia="맑은 고딕" w:hAnsi="맑은 고딕" w:cs="Calibri" w:hint="eastAsia"/>
          <w:b/>
          <w:kern w:val="0"/>
          <w:sz w:val="20"/>
          <w:szCs w:val="20"/>
          <w:lang w:eastAsia="ko-KR"/>
          <w14:ligatures w14:val="none"/>
        </w:rPr>
        <w:t>:</w:t>
      </w:r>
      <w:r>
        <w:rPr>
          <w:rFonts w:ascii="Arial" w:eastAsia="맑은 고딕" w:hAnsi="Arial" w:cs="Calibri" w:hint="eastAsia"/>
          <w:b/>
          <w:kern w:val="0"/>
          <w:sz w:val="20"/>
          <w:szCs w:val="20"/>
          <w:lang w:eastAsia="ko-KR"/>
          <w14:ligatures w14:val="none"/>
        </w:rPr>
        <w:t xml:space="preserve"> </w:t>
      </w:r>
      <w:r w:rsidRPr="00305131">
        <w:rPr>
          <w:rFonts w:ascii="Arial" w:eastAsia="Calibri" w:hAnsi="Arial" w:cs="Calibri"/>
          <w:bCs/>
          <w:kern w:val="0"/>
          <w:sz w:val="20"/>
          <w:szCs w:val="20"/>
          <w:lang w:val="en-US"/>
          <w14:ligatures w14:val="none"/>
        </w:rPr>
        <w:t>This research was supported by Basic Science Research Program through the National Research Foundation of Korea (NRF) funded by the Ministry of Science, ICT &amp; Future Planning (NRF-2022R1A2C1003070).</w:t>
      </w:r>
    </w:p>
    <w:p w14:paraId="67ECCDA1" w14:textId="77777777" w:rsidR="00B55152" w:rsidRPr="00B55152" w:rsidRDefault="00B55152" w:rsidP="00C315D2">
      <w:pPr>
        <w:spacing w:after="0" w:line="240" w:lineRule="auto"/>
        <w:jc w:val="both"/>
        <w:rPr>
          <w:rFonts w:ascii="Arial" w:eastAsia="맑은 고딕" w:hAnsi="Arial" w:cs="Calibri"/>
          <w:b/>
          <w:kern w:val="0"/>
          <w:sz w:val="20"/>
          <w:szCs w:val="20"/>
          <w:lang w:val="en-US" w:eastAsia="ko-KR"/>
          <w14:ligatures w14:val="none"/>
        </w:rPr>
      </w:pPr>
    </w:p>
    <w:p w14:paraId="2C801966" w14:textId="4B834A3D" w:rsidR="00C315D2" w:rsidRPr="00305131" w:rsidRDefault="00C315D2" w:rsidP="00C315D2">
      <w:pPr>
        <w:spacing w:after="0" w:line="240" w:lineRule="auto"/>
        <w:jc w:val="both"/>
        <w:rPr>
          <w:rFonts w:ascii="Arial" w:eastAsia="맑은 고딕" w:hAnsi="Arial" w:cs="Calibri"/>
          <w:bCs/>
          <w:kern w:val="0"/>
          <w:sz w:val="20"/>
          <w:szCs w:val="20"/>
          <w:lang w:val="en-US" w:eastAsia="ko-KR"/>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75BB4598" w14:textId="2D8BA722" w:rsidR="002D40D7" w:rsidRPr="00B55152" w:rsidRDefault="002D40D7" w:rsidP="002D40D7">
      <w:pPr>
        <w:spacing w:after="0" w:line="240" w:lineRule="auto"/>
        <w:jc w:val="both"/>
        <w:rPr>
          <w:rFonts w:ascii="Arial" w:eastAsia="맑은 고딕" w:hAnsi="Arial" w:cs="Calibri"/>
          <w:bCs/>
          <w:kern w:val="0"/>
          <w:sz w:val="20"/>
          <w:szCs w:val="20"/>
          <w:lang w:val="en-US" w:eastAsia="ko-KR"/>
          <w14:ligatures w14:val="none"/>
        </w:rPr>
      </w:pPr>
      <w:r w:rsidRPr="002D40D7">
        <w:rPr>
          <w:rFonts w:ascii="Arial" w:eastAsia="Calibri" w:hAnsi="Arial" w:cs="Calibri" w:hint="eastAsia"/>
          <w:bCs/>
          <w:kern w:val="0"/>
          <w:sz w:val="20"/>
          <w:szCs w:val="20"/>
          <w:lang w:val="en-US"/>
          <w14:ligatures w14:val="none"/>
        </w:rPr>
        <w:t xml:space="preserve">(1) </w:t>
      </w:r>
      <w:r w:rsidRPr="002D40D7">
        <w:rPr>
          <w:rFonts w:ascii="Arial" w:eastAsia="Calibri" w:hAnsi="Arial" w:cs="Calibri"/>
          <w:bCs/>
          <w:kern w:val="0"/>
          <w:sz w:val="20"/>
          <w:szCs w:val="20"/>
          <w:lang w:val="en-US"/>
          <w14:ligatures w14:val="none"/>
        </w:rPr>
        <w:t>Tuttle, K. R.</w:t>
      </w:r>
      <w:r w:rsidRPr="002D40D7">
        <w:rPr>
          <w:rFonts w:ascii="Arial" w:eastAsia="Calibri" w:hAnsi="Arial" w:cs="Calibri" w:hint="eastAsia"/>
          <w:bCs/>
          <w:kern w:val="0"/>
          <w:sz w:val="20"/>
          <w:szCs w:val="20"/>
          <w:lang w:val="en-US"/>
          <w14:ligatures w14:val="none"/>
        </w:rPr>
        <w:t xml:space="preserve"> et al</w:t>
      </w:r>
      <w:r w:rsidRPr="002D40D7">
        <w:rPr>
          <w:rFonts w:ascii="Arial" w:eastAsia="Calibri" w:hAnsi="Arial" w:cs="Calibri"/>
          <w:bCs/>
          <w:kern w:val="0"/>
          <w:sz w:val="20"/>
          <w:szCs w:val="20"/>
          <w:lang w:val="en-US"/>
          <w14:ligatures w14:val="none"/>
        </w:rPr>
        <w:t xml:space="preserve"> (2014) Diabetes care 37(10)</w:t>
      </w:r>
      <w:r w:rsidR="00B55152">
        <w:rPr>
          <w:rFonts w:ascii="Arial" w:eastAsia="맑은 고딕" w:hAnsi="Arial" w:cs="Calibri" w:hint="eastAsia"/>
          <w:bCs/>
          <w:kern w:val="0"/>
          <w:sz w:val="20"/>
          <w:szCs w:val="20"/>
          <w:lang w:val="en-US" w:eastAsia="ko-KR"/>
          <w14:ligatures w14:val="none"/>
        </w:rPr>
        <w:t>:</w:t>
      </w:r>
      <w:r w:rsidRPr="002D40D7">
        <w:rPr>
          <w:rFonts w:ascii="Arial" w:eastAsia="Calibri" w:hAnsi="Arial" w:cs="Calibri"/>
          <w:bCs/>
          <w:kern w:val="0"/>
          <w:sz w:val="20"/>
          <w:szCs w:val="20"/>
          <w:lang w:val="en-US"/>
          <w14:ligatures w14:val="none"/>
        </w:rPr>
        <w:t>2864-2883</w:t>
      </w:r>
    </w:p>
    <w:p w14:paraId="0788D50A" w14:textId="6CB57998" w:rsidR="002D40D7" w:rsidRPr="00B55152" w:rsidRDefault="002D40D7" w:rsidP="002D40D7">
      <w:pPr>
        <w:spacing w:after="0" w:line="240" w:lineRule="auto"/>
        <w:jc w:val="both"/>
        <w:rPr>
          <w:rFonts w:ascii="Arial" w:eastAsia="맑은 고딕" w:hAnsi="Arial" w:cs="Calibri"/>
          <w:bCs/>
          <w:kern w:val="0"/>
          <w:sz w:val="20"/>
          <w:szCs w:val="20"/>
          <w:lang w:val="en-US" w:eastAsia="ko-KR"/>
          <w14:ligatures w14:val="none"/>
        </w:rPr>
      </w:pPr>
      <w:r w:rsidRPr="002D40D7">
        <w:rPr>
          <w:rFonts w:ascii="Arial" w:eastAsia="Calibri" w:hAnsi="Arial" w:cs="Calibri" w:hint="eastAsia"/>
          <w:bCs/>
          <w:kern w:val="0"/>
          <w:sz w:val="20"/>
          <w:szCs w:val="20"/>
          <w:lang w:val="en-US"/>
          <w14:ligatures w14:val="none"/>
        </w:rPr>
        <w:t xml:space="preserve">(2) </w:t>
      </w:r>
      <w:r w:rsidRPr="002D40D7">
        <w:rPr>
          <w:rFonts w:ascii="Arial" w:eastAsia="Calibri" w:hAnsi="Arial" w:cs="Calibri"/>
          <w:bCs/>
          <w:kern w:val="0"/>
          <w:sz w:val="20"/>
          <w:szCs w:val="20"/>
          <w:lang w:val="en-US"/>
          <w14:ligatures w14:val="none"/>
        </w:rPr>
        <w:t>Frampton, J. E. (2021) Drugs 81(15)</w:t>
      </w:r>
      <w:r w:rsidR="00B55152">
        <w:rPr>
          <w:rFonts w:ascii="Arial" w:eastAsia="맑은 고딕" w:hAnsi="Arial" w:cs="Calibri" w:hint="eastAsia"/>
          <w:bCs/>
          <w:kern w:val="0"/>
          <w:sz w:val="20"/>
          <w:szCs w:val="20"/>
          <w:lang w:val="en-US" w:eastAsia="ko-KR"/>
          <w14:ligatures w14:val="none"/>
        </w:rPr>
        <w:t>:</w:t>
      </w:r>
      <w:r w:rsidRPr="002D40D7">
        <w:rPr>
          <w:rFonts w:ascii="Arial" w:eastAsia="Calibri" w:hAnsi="Arial" w:cs="Calibri"/>
          <w:bCs/>
          <w:kern w:val="0"/>
          <w:sz w:val="20"/>
          <w:szCs w:val="20"/>
          <w:lang w:val="en-US"/>
          <w14:ligatures w14:val="none"/>
        </w:rPr>
        <w:t>1787-1794</w:t>
      </w:r>
    </w:p>
    <w:p w14:paraId="50850358" w14:textId="7CAF50A3" w:rsidR="00305131" w:rsidRPr="00B55152" w:rsidRDefault="00305131" w:rsidP="00305131">
      <w:pPr>
        <w:spacing w:after="0" w:line="240" w:lineRule="auto"/>
        <w:jc w:val="both"/>
        <w:rPr>
          <w:rFonts w:ascii="Arial" w:eastAsia="맑은 고딕" w:hAnsi="Arial" w:cs="Calibri"/>
          <w:bCs/>
          <w:kern w:val="0"/>
          <w:sz w:val="20"/>
          <w:szCs w:val="20"/>
          <w:lang w:val="en-US" w:eastAsia="ko-KR"/>
          <w14:ligatures w14:val="none"/>
        </w:rPr>
      </w:pPr>
      <w:r w:rsidRPr="00305131">
        <w:rPr>
          <w:rFonts w:ascii="Arial" w:eastAsia="Calibri" w:hAnsi="Arial" w:cs="Calibri" w:hint="eastAsia"/>
          <w:bCs/>
          <w:kern w:val="0"/>
          <w:sz w:val="20"/>
          <w:szCs w:val="20"/>
          <w:lang w:val="en-US"/>
          <w14:ligatures w14:val="none"/>
        </w:rPr>
        <w:t xml:space="preserve">(3) </w:t>
      </w:r>
      <w:r w:rsidRPr="00305131">
        <w:rPr>
          <w:rFonts w:ascii="Arial" w:eastAsia="Calibri" w:hAnsi="Arial" w:cs="Calibri"/>
          <w:bCs/>
          <w:kern w:val="0"/>
          <w:sz w:val="20"/>
          <w:szCs w:val="20"/>
          <w:lang w:val="en-US"/>
          <w14:ligatures w14:val="none"/>
        </w:rPr>
        <w:t>Balakumar, K.</w:t>
      </w:r>
      <w:r>
        <w:rPr>
          <w:rFonts w:ascii="Arial" w:eastAsia="맑은 고딕" w:hAnsi="Arial" w:cs="Calibri" w:hint="eastAsia"/>
          <w:bCs/>
          <w:kern w:val="0"/>
          <w:sz w:val="20"/>
          <w:szCs w:val="20"/>
          <w:lang w:val="en-US" w:eastAsia="ko-KR"/>
          <w14:ligatures w14:val="none"/>
        </w:rPr>
        <w:t xml:space="preserve"> et al </w:t>
      </w:r>
      <w:r w:rsidRPr="00305131">
        <w:rPr>
          <w:rFonts w:ascii="Arial" w:eastAsia="Calibri" w:hAnsi="Arial" w:cs="Calibri"/>
          <w:bCs/>
          <w:kern w:val="0"/>
          <w:sz w:val="20"/>
          <w:szCs w:val="20"/>
          <w:lang w:val="en-US"/>
          <w14:ligatures w14:val="none"/>
        </w:rPr>
        <w:t xml:space="preserve">(2013) Colloids and Surfaces B: </w:t>
      </w:r>
      <w:proofErr w:type="spellStart"/>
      <w:r w:rsidRPr="00305131">
        <w:rPr>
          <w:rFonts w:ascii="Arial" w:eastAsia="Calibri" w:hAnsi="Arial" w:cs="Calibri"/>
          <w:bCs/>
          <w:kern w:val="0"/>
          <w:sz w:val="20"/>
          <w:szCs w:val="20"/>
          <w:lang w:val="en-US"/>
          <w14:ligatures w14:val="none"/>
        </w:rPr>
        <w:t>Biointerfaces</w:t>
      </w:r>
      <w:proofErr w:type="spellEnd"/>
      <w:r w:rsidRPr="00305131">
        <w:rPr>
          <w:rFonts w:ascii="Arial" w:eastAsia="Calibri" w:hAnsi="Arial" w:cs="Calibri"/>
          <w:bCs/>
          <w:kern w:val="0"/>
          <w:sz w:val="20"/>
          <w:szCs w:val="20"/>
          <w:lang w:val="en-US"/>
          <w14:ligatures w14:val="none"/>
        </w:rPr>
        <w:t> 112</w:t>
      </w:r>
      <w:r w:rsidR="00B55152">
        <w:rPr>
          <w:rFonts w:ascii="Arial" w:eastAsia="맑은 고딕" w:hAnsi="Arial" w:cs="Calibri" w:hint="eastAsia"/>
          <w:bCs/>
          <w:kern w:val="0"/>
          <w:sz w:val="20"/>
          <w:szCs w:val="20"/>
          <w:lang w:val="en-US" w:eastAsia="ko-KR"/>
          <w14:ligatures w14:val="none"/>
        </w:rPr>
        <w:t>:</w:t>
      </w:r>
      <w:r w:rsidRPr="00305131">
        <w:rPr>
          <w:rFonts w:ascii="Arial" w:eastAsia="Calibri" w:hAnsi="Arial" w:cs="Calibri"/>
          <w:bCs/>
          <w:kern w:val="0"/>
          <w:sz w:val="20"/>
          <w:szCs w:val="20"/>
          <w:lang w:val="en-US"/>
          <w14:ligatures w14:val="none"/>
        </w:rPr>
        <w:t>337-343</w:t>
      </w:r>
    </w:p>
    <w:p w14:paraId="6075E435" w14:textId="09B84157" w:rsidR="002D40D7" w:rsidRPr="00B55152" w:rsidRDefault="00305131" w:rsidP="002D40D7">
      <w:pPr>
        <w:spacing w:after="0" w:line="240" w:lineRule="auto"/>
        <w:jc w:val="both"/>
        <w:rPr>
          <w:rFonts w:ascii="Arial" w:eastAsia="맑은 고딕" w:hAnsi="Arial" w:cs="Calibri"/>
          <w:bCs/>
          <w:kern w:val="0"/>
          <w:sz w:val="20"/>
          <w:szCs w:val="20"/>
          <w:lang w:val="en-US" w:eastAsia="ko-KR"/>
          <w14:ligatures w14:val="none"/>
        </w:rPr>
      </w:pPr>
      <w:r w:rsidRPr="00305131">
        <w:rPr>
          <w:rFonts w:ascii="Arial" w:eastAsia="Calibri" w:hAnsi="Arial" w:cs="Calibri" w:hint="eastAsia"/>
          <w:bCs/>
          <w:kern w:val="0"/>
          <w:sz w:val="20"/>
          <w:szCs w:val="20"/>
          <w:lang w:val="en-US"/>
          <w14:ligatures w14:val="none"/>
        </w:rPr>
        <w:t xml:space="preserve">(4) </w:t>
      </w:r>
      <w:r w:rsidRPr="00305131">
        <w:rPr>
          <w:rFonts w:ascii="Arial" w:eastAsia="Calibri" w:hAnsi="Arial" w:cs="Calibri"/>
          <w:bCs/>
          <w:kern w:val="0"/>
          <w:sz w:val="20"/>
          <w:szCs w:val="20"/>
          <w:lang w:val="en-US"/>
          <w14:ligatures w14:val="none"/>
        </w:rPr>
        <w:t>Taniguchi, C.</w:t>
      </w:r>
      <w:r>
        <w:rPr>
          <w:rFonts w:ascii="Arial" w:eastAsia="맑은 고딕" w:hAnsi="Arial" w:cs="Calibri" w:hint="eastAsia"/>
          <w:bCs/>
          <w:kern w:val="0"/>
          <w:sz w:val="20"/>
          <w:szCs w:val="20"/>
          <w:lang w:val="en-US" w:eastAsia="ko-KR"/>
          <w14:ligatures w14:val="none"/>
        </w:rPr>
        <w:t xml:space="preserve"> et al </w:t>
      </w:r>
      <w:r w:rsidRPr="00305131">
        <w:rPr>
          <w:rFonts w:ascii="Arial" w:eastAsia="Calibri" w:hAnsi="Arial" w:cs="Calibri"/>
          <w:bCs/>
          <w:kern w:val="0"/>
          <w:sz w:val="20"/>
          <w:szCs w:val="20"/>
          <w:lang w:val="en-US"/>
          <w14:ligatures w14:val="none"/>
        </w:rPr>
        <w:t>(2014) Expert opinion on drug delivery 11(4)</w:t>
      </w:r>
      <w:r w:rsidR="00B55152">
        <w:rPr>
          <w:rFonts w:ascii="Arial" w:eastAsia="맑은 고딕" w:hAnsi="Arial" w:cs="Calibri" w:hint="eastAsia"/>
          <w:bCs/>
          <w:kern w:val="0"/>
          <w:sz w:val="20"/>
          <w:szCs w:val="20"/>
          <w:lang w:val="en-US" w:eastAsia="ko-KR"/>
          <w14:ligatures w14:val="none"/>
        </w:rPr>
        <w:t>:</w:t>
      </w:r>
      <w:r w:rsidRPr="00305131">
        <w:rPr>
          <w:rFonts w:ascii="Arial" w:eastAsia="Calibri" w:hAnsi="Arial" w:cs="Calibri"/>
          <w:bCs/>
          <w:kern w:val="0"/>
          <w:sz w:val="20"/>
          <w:szCs w:val="20"/>
          <w:lang w:val="en-US"/>
          <w14:ligatures w14:val="none"/>
        </w:rPr>
        <w:t xml:space="preserve"> 505-516</w:t>
      </w:r>
    </w:p>
    <w:p w14:paraId="7E40E72C" w14:textId="19BC2F23" w:rsidR="00305131" w:rsidRPr="00B55152" w:rsidRDefault="00305131" w:rsidP="002D40D7">
      <w:pPr>
        <w:spacing w:after="0" w:line="240" w:lineRule="auto"/>
        <w:jc w:val="both"/>
        <w:rPr>
          <w:rFonts w:ascii="Arial" w:eastAsia="맑은 고딕" w:hAnsi="Arial" w:cs="Calibri"/>
          <w:bCs/>
          <w:kern w:val="0"/>
          <w:sz w:val="20"/>
          <w:szCs w:val="20"/>
          <w:lang w:val="en-US" w:eastAsia="ko-KR"/>
          <w14:ligatures w14:val="none"/>
        </w:rPr>
      </w:pPr>
      <w:r w:rsidRPr="00305131">
        <w:rPr>
          <w:rFonts w:ascii="Arial" w:eastAsia="Calibri" w:hAnsi="Arial" w:cs="Calibri" w:hint="eastAsia"/>
          <w:bCs/>
          <w:kern w:val="0"/>
          <w:sz w:val="20"/>
          <w:szCs w:val="20"/>
          <w:lang w:val="en-US"/>
          <w14:ligatures w14:val="none"/>
        </w:rPr>
        <w:t xml:space="preserve">(5) </w:t>
      </w:r>
      <w:r w:rsidRPr="00305131">
        <w:rPr>
          <w:rFonts w:ascii="Arial" w:eastAsia="Calibri" w:hAnsi="Arial" w:cs="Calibri"/>
          <w:bCs/>
          <w:kern w:val="0"/>
          <w:sz w:val="20"/>
          <w:szCs w:val="20"/>
          <w:lang w:val="en-US"/>
          <w14:ligatures w14:val="none"/>
        </w:rPr>
        <w:t>Woo, M. R.</w:t>
      </w:r>
      <w:r>
        <w:rPr>
          <w:rFonts w:ascii="Arial" w:eastAsia="맑은 고딕" w:hAnsi="Arial" w:cs="Calibri" w:hint="eastAsia"/>
          <w:bCs/>
          <w:kern w:val="0"/>
          <w:sz w:val="20"/>
          <w:szCs w:val="20"/>
          <w:lang w:val="en-US" w:eastAsia="ko-KR"/>
          <w14:ligatures w14:val="none"/>
        </w:rPr>
        <w:t xml:space="preserve"> et al</w:t>
      </w:r>
      <w:r w:rsidRPr="00305131">
        <w:rPr>
          <w:rFonts w:ascii="Arial" w:eastAsia="Calibri" w:hAnsi="Arial" w:cs="Calibri"/>
          <w:bCs/>
          <w:kern w:val="0"/>
          <w:sz w:val="20"/>
          <w:szCs w:val="20"/>
          <w:lang w:val="en-US"/>
          <w14:ligatures w14:val="none"/>
        </w:rPr>
        <w:t xml:space="preserve"> (2024) International Journal of Pharmaceutics 659</w:t>
      </w:r>
      <w:r w:rsidR="00B55152">
        <w:rPr>
          <w:rFonts w:ascii="Arial" w:eastAsia="맑은 고딕" w:hAnsi="Arial" w:cs="Calibri" w:hint="eastAsia"/>
          <w:bCs/>
          <w:kern w:val="0"/>
          <w:sz w:val="20"/>
          <w:szCs w:val="20"/>
          <w:lang w:val="en-US" w:eastAsia="ko-KR"/>
          <w14:ligatures w14:val="none"/>
        </w:rPr>
        <w:t>:</w:t>
      </w:r>
      <w:r w:rsidRPr="00305131">
        <w:rPr>
          <w:rFonts w:ascii="Arial" w:eastAsia="Calibri" w:hAnsi="Arial" w:cs="Calibri"/>
          <w:bCs/>
          <w:kern w:val="0"/>
          <w:sz w:val="20"/>
          <w:szCs w:val="20"/>
          <w:lang w:val="en-US"/>
          <w14:ligatures w14:val="none"/>
        </w:rPr>
        <w:t>124179</w:t>
      </w:r>
    </w:p>
    <w:sectPr w:rsidR="00305131" w:rsidRPr="00B551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0EC4B" w14:textId="77777777" w:rsidR="004E4E02" w:rsidRDefault="004E4E02" w:rsidP="00B55152">
      <w:pPr>
        <w:spacing w:after="0" w:line="240" w:lineRule="auto"/>
      </w:pPr>
      <w:r>
        <w:separator/>
      </w:r>
    </w:p>
  </w:endnote>
  <w:endnote w:type="continuationSeparator" w:id="0">
    <w:p w14:paraId="427AACD0" w14:textId="77777777" w:rsidR="004E4E02" w:rsidRDefault="004E4E02" w:rsidP="00B5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1B81" w14:textId="77777777" w:rsidR="004E4E02" w:rsidRDefault="004E4E02" w:rsidP="00B55152">
      <w:pPr>
        <w:spacing w:after="0" w:line="240" w:lineRule="auto"/>
      </w:pPr>
      <w:r>
        <w:separator/>
      </w:r>
    </w:p>
  </w:footnote>
  <w:footnote w:type="continuationSeparator" w:id="0">
    <w:p w14:paraId="52949410" w14:textId="77777777" w:rsidR="004E4E02" w:rsidRDefault="004E4E02" w:rsidP="00B55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E0438"/>
    <w:multiLevelType w:val="hybridMultilevel"/>
    <w:tmpl w:val="47F61862"/>
    <w:lvl w:ilvl="0" w:tplc="E976D6FE">
      <w:start w:val="1"/>
      <w:numFmt w:val="decimal"/>
      <w:lvlText w:val="(%1)"/>
      <w:lvlJc w:val="left"/>
      <w:pPr>
        <w:ind w:left="800" w:hanging="360"/>
      </w:pPr>
      <w:rPr>
        <w:rFonts w:eastAsia="Calibri"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5E3A1B81"/>
    <w:multiLevelType w:val="hybridMultilevel"/>
    <w:tmpl w:val="D2549658"/>
    <w:lvl w:ilvl="0" w:tplc="236A17FE">
      <w:start w:val="1"/>
      <w:numFmt w:val="decimal"/>
      <w:lvlText w:val="(%1)"/>
      <w:lvlJc w:val="left"/>
      <w:pPr>
        <w:ind w:left="800" w:hanging="360"/>
      </w:pPr>
      <w:rPr>
        <w:rFonts w:eastAsia="Calibri"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2"/>
  </w:num>
  <w:num w:numId="2" w16cid:durableId="1839038446">
    <w:abstractNumId w:val="1"/>
  </w:num>
  <w:num w:numId="3" w16cid:durableId="18883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195650"/>
    <w:rsid w:val="002017E6"/>
    <w:rsid w:val="00291215"/>
    <w:rsid w:val="00294059"/>
    <w:rsid w:val="002D40D7"/>
    <w:rsid w:val="00305131"/>
    <w:rsid w:val="003206E4"/>
    <w:rsid w:val="003A6D5C"/>
    <w:rsid w:val="004A51B6"/>
    <w:rsid w:val="004E4E02"/>
    <w:rsid w:val="00510CF8"/>
    <w:rsid w:val="00575A29"/>
    <w:rsid w:val="00601754"/>
    <w:rsid w:val="00674ADF"/>
    <w:rsid w:val="006A34BE"/>
    <w:rsid w:val="006F3F1C"/>
    <w:rsid w:val="007141F2"/>
    <w:rsid w:val="007561D8"/>
    <w:rsid w:val="00795378"/>
    <w:rsid w:val="00796206"/>
    <w:rsid w:val="007C367E"/>
    <w:rsid w:val="008071C5"/>
    <w:rsid w:val="00854E76"/>
    <w:rsid w:val="008D4C58"/>
    <w:rsid w:val="00906D34"/>
    <w:rsid w:val="00933DC9"/>
    <w:rsid w:val="00936D4C"/>
    <w:rsid w:val="009523F9"/>
    <w:rsid w:val="009650DF"/>
    <w:rsid w:val="00994257"/>
    <w:rsid w:val="009B1CBB"/>
    <w:rsid w:val="009F7869"/>
    <w:rsid w:val="00A0516D"/>
    <w:rsid w:val="00AC6C23"/>
    <w:rsid w:val="00B4721D"/>
    <w:rsid w:val="00B55152"/>
    <w:rsid w:val="00B8473A"/>
    <w:rsid w:val="00C21815"/>
    <w:rsid w:val="00C315D2"/>
    <w:rsid w:val="00C353D8"/>
    <w:rsid w:val="00C651AB"/>
    <w:rsid w:val="00CF5A91"/>
    <w:rsid w:val="00D02BB1"/>
    <w:rsid w:val="00D45A74"/>
    <w:rsid w:val="00D7428F"/>
    <w:rsid w:val="00E07582"/>
    <w:rsid w:val="00E332EC"/>
    <w:rsid w:val="00E51B47"/>
    <w:rsid w:val="00EC3746"/>
    <w:rsid w:val="00ED617D"/>
    <w:rsid w:val="00F539FB"/>
    <w:rsid w:val="00F85528"/>
    <w:rsid w:val="00FD68F1"/>
    <w:rsid w:val="00FF29E2"/>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바탕"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315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15D2"/>
    <w:rPr>
      <w:rFonts w:eastAsiaTheme="majorEastAsia" w:cstheme="majorBidi"/>
      <w:i/>
      <w:iCs/>
      <w:color w:val="0F4761" w:themeColor="accent1" w:themeShade="BF"/>
    </w:rPr>
  </w:style>
  <w:style w:type="character" w:customStyle="1" w:styleId="5Char">
    <w:name w:val="제목 5 Char"/>
    <w:basedOn w:val="a0"/>
    <w:link w:val="5"/>
    <w:uiPriority w:val="9"/>
    <w:semiHidden/>
    <w:rsid w:val="00C315D2"/>
    <w:rPr>
      <w:rFonts w:eastAsiaTheme="majorEastAsia" w:cstheme="majorBidi"/>
      <w:color w:val="0F4761" w:themeColor="accent1" w:themeShade="BF"/>
    </w:rPr>
  </w:style>
  <w:style w:type="character" w:customStyle="1" w:styleId="6Char">
    <w:name w:val="제목 6 Char"/>
    <w:basedOn w:val="a0"/>
    <w:link w:val="6"/>
    <w:uiPriority w:val="9"/>
    <w:semiHidden/>
    <w:rsid w:val="00C315D2"/>
    <w:rPr>
      <w:rFonts w:eastAsiaTheme="majorEastAsia" w:cstheme="majorBidi"/>
      <w:i/>
      <w:iCs/>
      <w:color w:val="595959" w:themeColor="text1" w:themeTint="A6"/>
    </w:rPr>
  </w:style>
  <w:style w:type="character" w:customStyle="1" w:styleId="7Char">
    <w:name w:val="제목 7 Char"/>
    <w:basedOn w:val="a0"/>
    <w:link w:val="7"/>
    <w:uiPriority w:val="9"/>
    <w:semiHidden/>
    <w:rsid w:val="00C315D2"/>
    <w:rPr>
      <w:rFonts w:eastAsiaTheme="majorEastAsia" w:cstheme="majorBidi"/>
      <w:color w:val="595959" w:themeColor="text1" w:themeTint="A6"/>
    </w:rPr>
  </w:style>
  <w:style w:type="character" w:customStyle="1" w:styleId="8Char">
    <w:name w:val="제목 8 Char"/>
    <w:basedOn w:val="a0"/>
    <w:link w:val="8"/>
    <w:uiPriority w:val="9"/>
    <w:semiHidden/>
    <w:rsid w:val="00C315D2"/>
    <w:rPr>
      <w:rFonts w:eastAsiaTheme="majorEastAsia" w:cstheme="majorBidi"/>
      <w:i/>
      <w:iCs/>
      <w:color w:val="272727" w:themeColor="text1" w:themeTint="D8"/>
    </w:rPr>
  </w:style>
  <w:style w:type="character" w:customStyle="1" w:styleId="9Char">
    <w:name w:val="제목 9 Char"/>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15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15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15D2"/>
    <w:pPr>
      <w:spacing w:before="160"/>
      <w:jc w:val="center"/>
    </w:pPr>
    <w:rPr>
      <w:i/>
      <w:iCs/>
      <w:color w:val="404040" w:themeColor="text1" w:themeTint="BF"/>
    </w:rPr>
  </w:style>
  <w:style w:type="character" w:customStyle="1" w:styleId="Char1">
    <w:name w:val="인용 Char"/>
    <w:basedOn w:val="a0"/>
    <w:link w:val="a5"/>
    <w:uiPriority w:val="29"/>
    <w:rsid w:val="00C315D2"/>
    <w:rPr>
      <w:i/>
      <w:iCs/>
      <w:color w:val="404040" w:themeColor="text1" w:themeTint="BF"/>
    </w:rPr>
  </w:style>
  <w:style w:type="paragraph" w:styleId="a6">
    <w:name w:val="List Paragraph"/>
    <w:basedOn w:val="a"/>
    <w:uiPriority w:val="34"/>
    <w:qFormat/>
    <w:rsid w:val="00C315D2"/>
    <w:pPr>
      <w:ind w:left="720"/>
      <w:contextualSpacing/>
    </w:pPr>
  </w:style>
  <w:style w:type="character" w:styleId="a7">
    <w:name w:val="Intense Emphasis"/>
    <w:basedOn w:val="a0"/>
    <w:uiPriority w:val="21"/>
    <w:qFormat/>
    <w:rsid w:val="00C315D2"/>
    <w:rPr>
      <w:i/>
      <w:iCs/>
      <w:color w:val="0F4761" w:themeColor="accent1" w:themeShade="BF"/>
    </w:rPr>
  </w:style>
  <w:style w:type="paragraph" w:styleId="a8">
    <w:name w:val="Intense Quote"/>
    <w:basedOn w:val="a"/>
    <w:next w:val="a"/>
    <w:link w:val="Char2"/>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15D2"/>
    <w:rPr>
      <w:i/>
      <w:iCs/>
      <w:color w:val="0F4761" w:themeColor="accent1" w:themeShade="BF"/>
    </w:rPr>
  </w:style>
  <w:style w:type="character" w:styleId="a9">
    <w:name w:val="Intense Reference"/>
    <w:basedOn w:val="a0"/>
    <w:uiPriority w:val="32"/>
    <w:qFormat/>
    <w:rsid w:val="00C315D2"/>
    <w:rPr>
      <w:b/>
      <w:bCs/>
      <w:smallCaps/>
      <w:color w:val="0F4761" w:themeColor="accent1" w:themeShade="BF"/>
      <w:spacing w:val="5"/>
    </w:rPr>
  </w:style>
  <w:style w:type="paragraph" w:styleId="aa">
    <w:name w:val="header"/>
    <w:basedOn w:val="a"/>
    <w:link w:val="Char3"/>
    <w:uiPriority w:val="99"/>
    <w:unhideWhenUsed/>
    <w:rsid w:val="00B55152"/>
    <w:pPr>
      <w:tabs>
        <w:tab w:val="center" w:pos="4513"/>
        <w:tab w:val="right" w:pos="9026"/>
      </w:tabs>
      <w:snapToGrid w:val="0"/>
    </w:pPr>
  </w:style>
  <w:style w:type="character" w:customStyle="1" w:styleId="Char3">
    <w:name w:val="머리글 Char"/>
    <w:basedOn w:val="a0"/>
    <w:link w:val="aa"/>
    <w:uiPriority w:val="99"/>
    <w:rsid w:val="00B55152"/>
  </w:style>
  <w:style w:type="paragraph" w:styleId="ab">
    <w:name w:val="footer"/>
    <w:basedOn w:val="a"/>
    <w:link w:val="Char4"/>
    <w:uiPriority w:val="99"/>
    <w:unhideWhenUsed/>
    <w:rsid w:val="00B55152"/>
    <w:pPr>
      <w:tabs>
        <w:tab w:val="center" w:pos="4513"/>
        <w:tab w:val="right" w:pos="9026"/>
      </w:tabs>
      <w:snapToGrid w:val="0"/>
    </w:pPr>
  </w:style>
  <w:style w:type="character" w:customStyle="1" w:styleId="Char4">
    <w:name w:val="바닥글 Char"/>
    <w:basedOn w:val="a0"/>
    <w:link w:val="ab"/>
    <w:uiPriority w:val="99"/>
    <w:rsid w:val="00B5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0120">
      <w:bodyDiv w:val="1"/>
      <w:marLeft w:val="0"/>
      <w:marRight w:val="0"/>
      <w:marTop w:val="0"/>
      <w:marBottom w:val="0"/>
      <w:divBdr>
        <w:top w:val="none" w:sz="0" w:space="0" w:color="auto"/>
        <w:left w:val="none" w:sz="0" w:space="0" w:color="auto"/>
        <w:bottom w:val="none" w:sz="0" w:space="0" w:color="auto"/>
        <w:right w:val="none" w:sz="0" w:space="0" w:color="auto"/>
      </w:divBdr>
    </w:div>
    <w:div w:id="423769833">
      <w:bodyDiv w:val="1"/>
      <w:marLeft w:val="0"/>
      <w:marRight w:val="0"/>
      <w:marTop w:val="0"/>
      <w:marBottom w:val="0"/>
      <w:divBdr>
        <w:top w:val="none" w:sz="0" w:space="0" w:color="auto"/>
        <w:left w:val="none" w:sz="0" w:space="0" w:color="auto"/>
        <w:bottom w:val="none" w:sz="0" w:space="0" w:color="auto"/>
        <w:right w:val="none" w:sz="0" w:space="0" w:color="auto"/>
      </w:divBdr>
    </w:div>
    <w:div w:id="743995318">
      <w:bodyDiv w:val="1"/>
      <w:marLeft w:val="0"/>
      <w:marRight w:val="0"/>
      <w:marTop w:val="0"/>
      <w:marBottom w:val="0"/>
      <w:divBdr>
        <w:top w:val="none" w:sz="0" w:space="0" w:color="auto"/>
        <w:left w:val="none" w:sz="0" w:space="0" w:color="auto"/>
        <w:bottom w:val="none" w:sz="0" w:space="0" w:color="auto"/>
        <w:right w:val="none" w:sz="0" w:space="0" w:color="auto"/>
      </w:divBdr>
    </w:div>
    <w:div w:id="1501233457">
      <w:bodyDiv w:val="1"/>
      <w:marLeft w:val="0"/>
      <w:marRight w:val="0"/>
      <w:marTop w:val="0"/>
      <w:marBottom w:val="0"/>
      <w:divBdr>
        <w:top w:val="none" w:sz="0" w:space="0" w:color="auto"/>
        <w:left w:val="none" w:sz="0" w:space="0" w:color="auto"/>
        <w:bottom w:val="none" w:sz="0" w:space="0" w:color="auto"/>
        <w:right w:val="none" w:sz="0" w:space="0" w:color="auto"/>
      </w:divBdr>
    </w:div>
    <w:div w:id="175566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408</Words>
  <Characters>2331</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박진우</cp:lastModifiedBy>
  <cp:revision>11</cp:revision>
  <dcterms:created xsi:type="dcterms:W3CDTF">2025-03-11T02:17:00Z</dcterms:created>
  <dcterms:modified xsi:type="dcterms:W3CDTF">2025-05-26T02:02:00Z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